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D-907/2011 vom 15. Februar 2011</w:t>
      </w:r>
    </w:p>
    <w:p>
      <w:r>
        <w:t>Bundesverwaltungsgericht, 2011-02-15, DE</w:t>
      </w:r>
    </w:p>
    <w:p>
      <w:r>
        <w:rPr>
          <w:b/>
        </w:rPr>
        <w:t xml:space="preserve">Quelle: </w:t>
      </w:r>
      <w:r>
        <w:t>https://mcp.opencaselaw.ch/entscheid/bvger_D-907_2011</w:t>
      </w:r>
    </w:p>
    <w:p>
      <w:r>
        <w:t>FR: TAF D-907/2011 du 15 février 2011</w:t>
      </w:r>
    </w:p>
    <w:p>
      <w:r>
        <w:t>IT: TAF D-907/2011 del 15 febbraio 2011</w:t>
      </w:r>
    </w:p>
    <w:p>
      <w:pPr>
        <w:pStyle w:val="Heading2"/>
      </w:pPr>
      <w:r>
        <w:t>Regeste</w:t>
      </w:r>
    </w:p>
    <w:p>
      <w:r>
        <w:t>Vollzug der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Entscheide des Schweizerischen Bundesverwaltungsgerichts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121-128 des Bundesgerichtsgesetzes vom 17. Juni 2005 (BGG, SR 173.110) sinngemäss. Bezüglich Inhalt und Form des Revisionsgesuchs kommt Art. 67 Abs. 3 des Bundesgesetzes vom 20. Dezember 1968 über das Verwaltungsverfahren (VwVG, SR 172.021) zur Anwendung (Art. 47 VGG).</w:t>
      </w:r>
    </w:p>
    <w:p>
      <w:r>
        <w:rPr>
          <w:b/>
        </w:rPr>
        <w:t>E. 1.3</w:t>
      </w:r>
    </w:p>
    <w:p>
      <w:r>
        <w:t>Der Gesuchsteller sucht mit der Nachreichung eines Beweismittels die geltend gemachte Abstammung aus B._______ zu beweisen und macht damit die ursprüngliche Fehlerhaftigkeit des materiellen Beschwerdeurteils des Bundesverwaltungsgerichts vom 3. Juni 2010 (Verfahren D-6889/2009) geltend. Die Eingabe vom 21. Januar 2011 ist daher als Revisionsgesuch zu behandeln.</w:t>
      </w:r>
    </w:p>
    <w:p>
      <w:r>
        <w:rPr>
          <w:b/>
        </w:rPr>
        <w:t>E. 1.4</w:t>
      </w:r>
    </w:p>
    <w:p>
      <w:r>
        <w:t>Der Gesuchsteller hat ein schutzwürdiges Interesse an der Auf­hebung oder Änderung des Beschwerdeurteils vom 3. Juni 2010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Der Gesuchsteller ruft mit der Nachreichung eines Beweismittels sinngemäss den Revisionsgrund von Art. 123 Abs. 2 Bst. a BGG an. Die Eingabe vom 21. Januar 2011 erweist sich damit als hinreichend be­gründet. Auf das Revisionsgesuch ist deshalb einzutreten (Art. 47 VGG i.V.m. Art. 67 Abs. 3 VwVG und Art. 52 VwVG).</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3.2</w:t>
      </w:r>
    </w:p>
    <w:p>
      <w:r>
        <w:t>Der Gesuchsteller reichte mit seiner Eingabe vom 21. Januar 2011 ein Schreiben (...) vom 14. Januar 2011 ein, das bestätige, dass er (der Gesuchsteller) ein Somalier sei und aus B._______ stamme.</w:t>
      </w:r>
    </w:p>
    <w:p>
      <w:r>
        <w:rPr>
          <w:b/>
        </w:rPr>
        <w:t>E. 3.2.1</w:t>
      </w:r>
    </w:p>
    <w:p>
      <w:r>
        <w:t>Vorweg ist festzustellen, dass das neue Beweismittel gemäss seiner Datierung erst nach dem angefochtenen Beschwerdeentscheid vom 3. Juni 2010 entstanden ist. Ob es bereits deshalb gemäss Art. 123 Abs. 2 Bst. a in fine BGG grundsätzlich revisionsrechtlich unbeachtlich ist, kann aufgrund nachfolgender Ausführungen letztlich offen bleiben.</w:t>
      </w:r>
    </w:p>
    <w:p>
      <w:r>
        <w:rPr>
          <w:b/>
        </w:rPr>
        <w:t>E. 3.2.2</w:t>
      </w:r>
    </w:p>
    <w:p>
      <w:r>
        <w:t>Im Beschwerdeurteil vom 3. Juni 2010 wurde der Vollzug der Wegweisung des Gesuchstellers als durchführbar erachtet. Es wurde festgestellt, dass die Identität des Gesuchstellers mangels Einreichung rechtsgenüglicher Identitätspapiere nicht feststehe, und die Angaben über seine angebliche Herkunft aus B._______ unglaubhaft seien; vielmehr sei davon auszugehen, dass er die letzten Jahre vor seiner Ausreise nicht dort gelebt habe. Das nun neu eingereichte Schreiben des (...) vom 14. Januar 2011 - dem aufgrund der Tatsache, dass es sich dabei um eine private Analyse handelt, die primär auf Angaben des Gesuchstellers selbst beruht, von vornherein nur beschränkte Beweiskraft zukommen kann - vermag an dieser Einschätzung nichts zu ändern. Es handelt sich dabei nicht um ein amtliches, zum Zweck des Identitätsnachweises ausgestelltes Dokument und der Gesuchsteller vermag daher damit keinen rechtsgenüglichen Nachweis für die behauptete Herkunft im Sinne von Art. 1 Bst. b und c AsylV 1 zu erbringen (vgl. hierzu BVGE 2007/7 E. 6). Das Schreiben vom 14. Januar 2011 ist nicht geeignet, die behauptete Herkunft zu belegen, weshalb es als nicht beweistauglich und somit als nicht erheblich im Sinne von Art. 123 Abs. 2 Bst. a BGG zu erachten ist. Hinsichtlich des Eventualantrags des Gesuchstellers um Vornahme einer behördlichen Lingua-Analyse ist festzuhalten, dass Beweisanträge im ordentlichen Asylverfahren zu stellen sind; die Aufzählung der Revisionsgründe in Art. 121-123 BGG ist abschliessend und ein Revisionsgesuch dient nicht dazu, bisherige Unterlassungen in der Beweisführung in einem ausserordentlichen Verfahren nachzuholen, weshalb der Eventualantrag des Gesuchstellers abzuweisen ist.</w:t>
      </w:r>
    </w:p>
    <w:p>
      <w:r>
        <w:rPr>
          <w:b/>
        </w:rPr>
        <w:t>E. 3.3</w:t>
      </w:r>
    </w:p>
    <w:p>
      <w:r>
        <w:t>Soweit sich der Gesuchsteller erneut auf die im vorangegangenen Beschwerdeverfahren eingereichten Beweismittel beruft, ist festzustellen, dass diese bereits Gegenstand des Beschwerdeurteils vom 3. Juni 2010 waren und somit keine neuen Beweismittel im Sinne von Art. 123 Abs. 2 Bst. a BGG darstellen. Im Übrigen wurde die mangelnde Beweistauglichkeit dieser Dokumente im Beschwerdeurteil vom 3. Juni 2010 eingehend begründet. Auch die erneuten Vorbringen zur (angeblichen) Echtheit des im ersten Revisionsverfahren eingereichten Passes sind unbeachtlich; der Pass wurde im Urteil des Bundesverwaltungsgerichts vom 17. Dezember 2010 bereits als inhaltlich verfälscht erkannt und dementsprechend eingezogen.</w:t>
      </w:r>
    </w:p>
    <w:p>
      <w:r>
        <w:rPr>
          <w:b/>
        </w:rPr>
        <w:t>E. 3.4</w:t>
      </w:r>
    </w:p>
    <w:p>
      <w:r>
        <w:t>Die vom Gesuchsteller vorgebrachte Verschlechterung der Sicherheitslage in Somalia seit dem Erlass des Beschwerdeurteils vom 3. Juni 2010 fällt aufgrund des Ausschlusses erst nachträglich entstandener Tatsachen als Grundlage für ein Revisionsverfahren ausser Betracht. Eine diesbezügliche Überweisung an das BFM zwecks Prüfung unter wiedererwägungsrechtlichen Aspekten ist indes angesichts der allgemeinen Schilderung, die keine konkrete Gefährdung des Gesuchstellers erkennen lässt (vgl. zur Praxis EMARK 2006 Nr. 2), und der Tatsache, dass es aufgrund der mangelhaften Mitwirkung des Gesuchstellers nicht Sache der Asylbehörden ist, weitere Nachforschungen hinsichtlich allfälliger Wegweisungshindernisse zu tätigen (vgl. hierzu die Ausführungen in E. 7.8 im Beschwerdeurteil vom 3. Juni 2010), nicht vorzunehmen. Auch bezüglich der aufgeworfenen Frage der Verhältnismässigkeit des Wegweisungsvollzugs angesichts eines mittlerweile eingeleiteten Einbürgerungsverfahrens der Ehefrau, aufgrund dessen der Gesuchsteller gute Aussichten auf die Erteilung einer ausländerrechtlichen Aufenthaltsbewilligung habe, ist eine Überweisung an die Vorinstanz mangels konkreter Absehbarkeit eines entsprechenden Rechtsanspruchs des Gesuchstellers (vgl. hierzu das abschlägige Schreiben der zuständigen kantonalen Behörde vom (...)) und aufgrund der ihm offen stehenden Möglichkeit der Einreichung eines Gesuchs um Bewilligung der Wiedereinreise in die Schweiz im Rahmen des Familiennachzugs nicht angezeigt.</w:t>
      </w:r>
    </w:p>
    <w:p>
      <w:r>
        <w:rPr>
          <w:b/>
        </w:rPr>
        <w:t>E. 3.5</w:t>
      </w:r>
    </w:p>
    <w:p>
      <w:r>
        <w:t>Was die übrigen Einwände in der Revisionseingabe - insbesondere hinsichtlich der Beweistauglichkeit der im vorangegangenen Beschwerdeverfahren eingereichten Beweismittel - betrifft, so laufen diese auf eine allgemeine, appellatorische Kritik am begründeten Beschwerdeurteil vom 3. Juni 2010 respektive auf eine Beanstandung der rechtlichen Würdigung des Sachverhalts in diesem Urteil hinaus. Der Gesuchsteller ruft zwar vordergründig einen Revisionsgrund an, beabsichtigt jedoch mit seiner Eingabe vielmehr eine andere Würdigung des Sachverhalts. Dafür besteht jedoch im Rahmen eines Revisionsverfahrens kein Raum. Eine erneute rechtliche Würdigung aktenkundiger Tatsachen beschlägt eine Rechtsfrage und nicht den Sachverhalt und stellt damit keinen Revisionsgrund dar (vgl. EMARK 2000 Nr. 29 E. 5).</w:t>
      </w:r>
    </w:p>
    <w:p>
      <w:r>
        <w:rPr>
          <w:b/>
        </w:rPr>
        <w:t>E. 4</w:t>
      </w:r>
    </w:p>
    <w:p>
      <w:r>
        <w:t>Zusammenfassend ist festzuhalten, dass kein revisionsrechtlich relevanter Sachverhalt dargetan ist. Das Gesuch um Revision des Urteils des Bundesverwaltungsgerichts vom 3. Juni 2010 (Verfahren D-6889/2009) ist demzufolge abzuweisen.</w:t>
      </w:r>
    </w:p>
    <w:p>
      <w:r>
        <w:rPr>
          <w:b/>
        </w:rPr>
        <w:t>E. 5</w:t>
      </w:r>
    </w:p>
    <w:p>
      <w:r>
        <w:t>Mit vorliegendem Revisionsentscheid erweist sich das Gesuch um Erlass vorsorglicher Massnahmen als gegenstandslos.</w:t>
      </w:r>
    </w:p>
    <w:p>
      <w:r>
        <w:rPr>
          <w:b/>
        </w:rPr>
        <w:t>E. 6</w:t>
      </w:r>
    </w:p>
    <w:p>
      <w:r>
        <w:t>Bei diesem Ausgang des Verfahrens sind die Kosten von Fr. 1'200.- dem Gesuchsteller aufzuerlegen (Art. 37 VGG i. V. m. Art. 63 Abs. 1 und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