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D-904/2008 vom 6. Juli 2011</w:t>
      </w:r>
    </w:p>
    <w:p>
      <w:r>
        <w:t>Bundesverwaltungsgericht, 2011-07-06, DE</w:t>
      </w:r>
    </w:p>
    <w:p>
      <w:r>
        <w:rPr>
          <w:b/>
        </w:rPr>
        <w:t xml:space="preserve">Quelle: </w:t>
      </w:r>
      <w:r>
        <w:t>https://mcp.opencaselaw.ch/entscheid/bvger_D-904_2008</w:t>
      </w:r>
    </w:p>
    <w:p>
      <w:r>
        <w:t>FR: TAF D-904/2008 du 6 juillet 2011</w:t>
      </w:r>
    </w:p>
    <w:p>
      <w:r>
        <w:t>IT: TAF D-904/2008 del 6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Zur Begründung seiner Verfügung führte das BFM im Wesentlichen aus, die Vorbringen des Beschwerdeführers seien nicht glaubhaft. Erst an der Anhörung habe er geltend gemacht, er habe im Iran erfahren, dass die Behörden ihn zu Hause mehrmals mit Haftbefehl gesucht hätten. Solche Verfolgungsmassnahmen bildeten erfahrungsgemäss ein wichtiges Element in der Begründung eines Asylgesuches. Deshalb hätte erwartet werden dürfen, dass er dieses Vorbringen bereits in der Erstbefragung zumindest ansatzweise erwähnt hätte. Weiter habe der Beschwerdeführer widersprüchliche Aussagen darüber gemacht, wie viele Personen ihn beim Geschlechtsverkehr beobachtet hätten. So habe er an der Befragung geltend gemacht, jemand (also offenbar eine Person) habe sie erwischt, während er an der Anhörung angegeben habe, es seien zwei oder drei Personen gewesen. Sodann erscheine es realitätsfremd, dass B._______ ihn gegenüber den Behörden der Vergewaltigung hätte beschuldigen sollen, wenn sie doch vorgehabt hätten zu heiraten oder, wenn dies nicht möglich gewesen wäre, zu fliehen. Weiter hätten die Personen, die sie er­wischt hätten, doch sicher gemerkt, dass B._______ nicht gezwungen worden sei, weil sie sich ansonsten wohl gegen ihn gewehrt hätte. Somit sei es realitätsfremd, wenn diese Personen nur den Beschwerdeführer festgenommen, B._______ aber einfach an Ort zurückgelassen hätten. Ausserdem scheine auch die Flucht des Beschwerdeführers realitätsfremd. Es sei kaum anzunehmen, dass ihn drei Wächter ungefesselt gelassen oder ihn nicht in einem Raum eingesperrt hätten, und er deshalb offenbar problemlos habe fliehen können, zumal ein Wächter bewaffnet gewesen sein solle. Schliesslich sei darauf hinzuweisen, dass die gesamten Ausführungen des Beschwerdeführers zu seiner Festnahme und der Flucht nicht den Eindruck tatsächlich erlebter Ereignisse vermittelten, weil sie wenig detailreich und "flach" seien. In der Regel könnten Personen tatsächlich Erlebtes viel ausführlicher und lebensnaher erzählen.</w:t>
      </w:r>
    </w:p>
    <w:p>
      <w:r>
        <w:rPr>
          <w:b/>
        </w:rPr>
        <w:t>E. 4.2</w:t>
      </w:r>
    </w:p>
    <w:p>
      <w:r>
        <w:t>Der Beschwerdeführer hielt dem entgegen, er habe sich an der Erstbefragung kurz fassen müssen. Deshalb habe er seinen Asylgrund nicht detailliert dargelegt und so auch nichts von den Haftbefehlen gesagt. Er habe seit dem Vorfall keinen Kontakt mehr zu seinem Vater und zu seinen Brüdern. Erst über seinen Bruder im Iran habe er erfahren, dass sein Vater und seine Brüder sehr verärgert seien und die Behörden ihn bei sich zu Hause gesucht hätten, sein Vater aber den Haftbefehl nicht entgegengenommen hätte, weil er nicht mehr sein Sohn sei. Neu habe er von seinem Bruder im Iran erfahren, dass ihn die Behörden auch bei seiner Schwester in Kabul gesucht und ihr zwei Haftbefehle ausgehändigt hätten, welche sie aber vernichtet habe. Sein Schwager habe sich auf seine Anfrage hin bei der Polizei gemeldet und zwei Haftbefehle erhalten, welche er mit heutiger Eingabe in Faxform einreiche, wobei er die Originale nachreichen werde, sobald sie einträfen. Die angeblichen Widersprüche seien auf eine unkorrekte Übersetzung zurückzuführen. Er habe sowohl an der Erstbefragung wie an der Anhörung gesagt: "Sie haben uns gesehen" ( ... ). Er ersuche das Gericht, seine Aussagen einem anderen Übersetzer vorzuspielen. Die Reaktion seiner Verlobten habe ihn zuerst auch überrascht, später habe er aber eingesehen, dass sie zum Selbstschutz so gehandelt habe. Hätte sie nämlich nicht die Unschuldige gespielt und ihn belastet, hätte ihre Familie sie sofort umgebracht. Bei solchen unmoralischen Taten würden gemäss islamischem Recht beide Beteiligten mit Hinrichtung in der Öffentlichkeit bestraft, falls die geschädigte Familie nicht zuvor die Schande mit dem Blut des Verursachers getilgt habe. Schliesslich sei zu erwähnen, dass das Dorf gar keinen Polizei­posten habe, weshalb alles im Freien geschehen sei. Seine Aussagen seien objektiv betrachtet logisch und realitätskonform und er habe die Ereignisse genügend dargelegt. Zur Stützung seiner Vorbringen reichte er zwei arabisch sprachige Dokumente in Kopie ein, bei welchen es sich angeblich um die beiden erwähnten Haftbefehle handle.</w:t>
      </w:r>
    </w:p>
    <w:p>
      <w:r>
        <w:rPr>
          <w:b/>
        </w:rPr>
        <w:t>E. 4.3</w:t>
      </w:r>
    </w:p>
    <w:p>
      <w:r>
        <w:t>In seiner Vernehmlassung hielt das BFM zu den eingereichten Kopien von den angeblichen Haftbefehlen fest, in Afghanistan könnten Papiere jeder Art leicht käuflich erworben werden. Der Beweiswert afghanischer Dokumente sei daher generell als niedrig einzustufen, weshalb die auf Beschwerdeebene eingereichten Dokumente keinen asylrelevanten Sachverhalt zu belegen vermöchten.</w:t>
      </w:r>
    </w:p>
    <w:p>
      <w:r>
        <w:rPr>
          <w:b/>
        </w:rPr>
        <w:t>E. 4.4</w:t>
      </w:r>
    </w:p>
    <w:p>
      <w:r>
        <w:t>In seiner Replik vom 16. Mai 2008 führte der Beschwerdeführer aus, die Ausführungen des BFM zu afghanischen Beweismitteln seien eine rei­ne Behauptung ohne nachvollziehbare Argumentation. Einerseits glaube das BFM Vorbringen von Asylsuchenden nicht, wenn sie sie nicht beweisen könnten. Wenn sie aber Beweismittel einreichten, würde deren Beweiswert als generell niedrig eingestuft. Da frage er sich, was sie unternehmen müssten, um ihren Anliegen Gehör zu verschaffen. Zur Stützung seiner Vorbringen reichte der Beschwerdeführer die Originale der angeblichen Haftbefehle mit Übersetzungen ein.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w:t>
      </w:r>
    </w:p>
    <w:p>
      <w:r>
        <w:rPr>
          <w:b/>
        </w:rPr>
        <w:t>E. 5.2</w:t>
      </w:r>
    </w:p>
    <w:p>
      <w:r>
        <w:t>Zunächst kann zum Einwand des Beschwerdeführers, es sei zu einem Übersetzungsfehler gekommen und er habe immer von mehreren Personen gesprochen, die sie erwischt hätten, festgehalten werden, dass ihm die Protokolle jeweils rückübersetzt wurden und er die Richtigkeit sei­ner Aussagen mit seiner Unterschrift bestätigt hat. Deshalb muss er sich bei diesen Aussagen behaften lassen. Zudem ist die Frage nicht von zen­traler Bedeutung, da seine Vorbringen - wie nachfolgend dargelegt - auch aus anderen Gründen als nicht glaubhaft gewertet werden müssen. Der Antrag auf eine erneute Übersetzung ist nach dem Gesagten abzulehnen, zumal die Interviews nicht, wie offenbar vom Beschwerdeführer angenommen, aufgezeichnet werden.</w:t>
      </w:r>
    </w:p>
    <w:p>
      <w:r>
        <w:rPr>
          <w:b/>
        </w:rPr>
        <w:t>E. 5.3</w:t>
      </w:r>
    </w:p>
    <w:p>
      <w:r>
        <w:t>Erste Zweifel an den Vorbringen des Beschwerdeführers entstehen vorliegend bereits durch sein Aussageverhalten. So beschränkte sich seine freie Rede bezüglich seiner Asylvorbringen an der Erstbefragung auf sechs Zeilen und an der Anhörung auf eine halbe Seite. Insgesamt vermögen die unsubstanziierten Aussagen des Beschwerdeführers nicht den Eindruck von selbst Erlebtem zu erwecken. So fallen in den Protokollen beispielsweise Sätze auf wie: "Ich stand dort. Danach bin ich geflohen" (A9 S. 6). Auf Fragen gab er stets sehr kurze und allgemein gehaltene Antworten. Die Befrager mussten immer wieder nachhaken, um Informationen zu erhalten; so beispielsweise auch als er über seine angebliche Freundin ausgefragt wurde. Trotz wiederholten Nachfragens vermochte der Beschwerdeführer kein persönlich geprägtes Bild von ihr zu zeichnen. So wusste er ihren Nachnamen nicht und im Weiteren erfährt man lediglich, dass sie ungefähr so alt wie er sei, in seinem Gebiet gewohnt habe, er sie zirka zwei Monate nach seiner Rückkehr in einem Internetcafé ken­nengelernt und dann regelmässig getroffen habe (A9 S. 5 f.). Zudem ist es im streng konservativen afghanischen Kontext nicht nachvollziehbar, wie es der Beschwerdeführer bewerkstelligt haben soll, seine Freundin regelmässig, zum Teil mehrmals pro Woche (A9 S. 11) zu treffen, ohne dass jemand etwas davon mitbekommen hätte. Nach dem Gesagten muss bereits die geltend gemachte Beziehung in Frage gestellt werden.</w:t>
      </w:r>
    </w:p>
    <w:p>
      <w:r>
        <w:rPr>
          <w:b/>
        </w:rPr>
        <w:t>E. 5.4</w:t>
      </w:r>
    </w:p>
    <w:p>
      <w:r>
        <w:t>Insbesondere wirkt es aber konstruiert, wenn der Beschwerdeführer behauptet, daraus habe eine landesweite, asylrechtlich relevante Verfolgung resultiert. Gewichtige Zweifel entstehen im Zusammenhang mit dem Ablauf der Ereignisse, nachdem sie entdeckt worden seien. Zunächst ist nicht nachvollziehbar, weshalb B._______ als Opfer einfach am Tatort zurückgelassen worden sein soll (vgl. A9, S. 6), zweifellos hätte man sich um sie gekümmert oder sie zumindest als Zeugin mit ins Dorfzentrum gebracht. Sodann ist unverständlich, wieso der Beschwerdeführer derart schlecht bewacht wurde, dass er aufgrund eines Tumultes so einfach fliehen konnte, obwohl einer der Wächter bewaffnet gewesen sei und sich auf dem Platz viele Leute befunden hätten, um dem Spektakel beizuwohnen. Dass er aufgrund seiner Freizeitaktivitäten körperlich so fit gewesen sei, dass die Wächter, die ihm zunächst gefolgt seien, ihn nicht hätten erwischen können, vermag nicht zu überzeugen. Schliesslich würde sich eine tatsächlich verfolgte Person nicht bei der eigenen Schwester verstecken, wo man von seinen Verfolgern ohne Weiteres gefunden werden kann.</w:t>
      </w:r>
    </w:p>
    <w:p>
      <w:r>
        <w:rPr>
          <w:b/>
        </w:rPr>
        <w:t>E. 5.5</w:t>
      </w:r>
    </w:p>
    <w:p>
      <w:r>
        <w:t>Bestätigt werden diese Zweifel durch die Ereignisse nach der Flucht des Beschwerdeführers. So erstaunt einerseits die Tatsache, dass seine Brüder nach seiner Flucht gemäss seinen Angaben keine Probleme gehabt hätten und nur sein Vater sich von ihm abgewendet habe. Dies ist im afghanischen Kontext der Blutrache nicht glaubhaft. Zudem gibt er nun in der Beschwerde an, nicht nur zu seinem Vater, sondern auch zu seinen Brüdern habe er wegen der Ereignisse keinen Kontakt mehr. Insbesondere fällt auch auf, dass der Beschwerdeführer an der Erstbefragung die nachträgliche Suche nach ihm mit keinem Wort erwähnte. So entsteht der Eindruck, er versuche seine Geschichte nachträglich aufzubauschen. Und anstatt dies in der Beschwerde zu erklären, baut er seine Verfolgungsgeschichte erneut weiter aus, indem er angibt, er sei inzwischen auch bei seiner Schwester gesucht worden.</w:t>
      </w:r>
    </w:p>
    <w:p>
      <w:r>
        <w:rPr>
          <w:b/>
        </w:rPr>
        <w:t>E. 5.6</w:t>
      </w:r>
    </w:p>
    <w:p>
      <w:r>
        <w:t>Die eingereichten Beweismittel vermögen an dieser Einschätzung nichts zu ändern. Im Zusammenhang mit den Haftbefehlen fällt einerseits auf, dass der Schwager des Beschwerdeführers, nachdem die Schwester jene unachtsam weggeworfen hatte, von den Behörden so einfach die Haftbefehle erneut im Original erhält und dies offenbar gar keine neuen Ermittlungsmassnahmen durch die Behörden auslöste, die durch diese Nachfrage des Schwagers doch sicher alarmiert gewesen wären. Weiter fällt auf, dass beide Haftbefehle am gleichen Tag ausgestellt wurden und dass das Ausstellungsdatum (7. Februar 2008) und das Datum der Unter­schriften (9. November 2005) weit auseinander liegen.</w:t>
      </w:r>
    </w:p>
    <w:p>
      <w:r>
        <w:rPr>
          <w:b/>
        </w:rPr>
        <w:t>E. 5.7</w:t>
      </w:r>
    </w:p>
    <w:p>
      <w:r>
        <w:t>Zusammenfassend ist nach dem Gesagten festzuhalten, dass die Vorbringen des Beschwerdeführers den Anforderungen an die Glaubhaftigkeit gemäss Art. 7 AsylG nicht standzuhalten vermögen. Das BFM hat demnach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8.2</w:t>
      </w:r>
    </w:p>
    <w:p>
      <w:r>
        <w:t>Von vornherein ausgeschlossen ist ein Vollzug der Weg­weisung in den Iran, wo sich der Beschwerdeführer als afghanischer Staatsbürger fast sein ganzes Leben aufgehalten hat. Selbst angesichts des 16jährigen Aufenthaltes in diesem Land erscheint nicht realistisch, dass der Beschwerdeführer als afghanischer Staatsbürger die iranische Staatsbürger­schaft erwerben konnte. In den Iran könnte der Vollzug der Wegweisung indes nur dann erfolgen, wenn die Möglichkeit einer legalen Wiedereinrei­se bestünde. Diese Möglichkeit ist von der Vorinstanz aber zu Recht nicht erwogen worden, zumal der Be­schwerdeführer als afghanischer Staatsbürger einen allfälligen Duldungsanspruch in diesem Drittstaat aufgrund seiner langen Landesabwesenheit ohnehin verwirkt haben dürfte (vgl. dazu Urteile des Bundesverwaltungsgerichts D-3936/2009 vom 10. August 2009; D-6471/2007 vom 26. August 2009; D-8645/2007 vom 7. Juni 2010).</w:t>
      </w:r>
    </w:p>
    <w:p>
      <w:r>
        <w:rPr>
          <w:b/>
        </w:rPr>
        <w:t>E. 8.3</w:t>
      </w:r>
    </w:p>
    <w:p>
      <w:r>
        <w:t>Im zur Publikation vorgesehenen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 Der Beschwerdeführer stammt aus Mazar-e-Sharif. Die Frage, ob hinsichtlich dieser relativ grossen Stadt Afghanistans analog zu Kabul allenfalls unter bestimmten Voraussetzungen ebenfalls von der Zu­mutbarkeit des Vollzugs ausgegangen werden könne, ist im zitierten Ur­teil offen gelassen worden (E. 9.9.3). Fest steht indes, dass die oben ste­hend aufgeführten strengen Bedingungen für eine dortige Wohnsitz­nahme ebenfalls erfüllt sein müssten.</w:t>
      </w:r>
    </w:p>
    <w:p>
      <w:r>
        <w:rPr>
          <w:b/>
        </w:rPr>
        <w:t>E. 8.4</w:t>
      </w:r>
    </w:p>
    <w:p>
      <w:r>
        <w:t>Vorauszuschicken ist, dass der Beschwerdeführer gemäss seinen glaubhaften und auch vom BFM nicht bezweifelten Angaben seit seiner frühen Kindheit und mithin während unge­fähr sechzehn Jahren im Iran lebte. Wenige Monate vor seiner Flucht in die Schweiz sei der Beschwerdeführer zusammen mit seiner Familie aufgrund einer entsprechenden Aufforderung der iranischen Behörden nach Afghanistan zurückgekehrt. Das BFM verweist zwar zu Recht auf noch bestehende Anknüpfungs­punkte in Mazar-e-Sharif. So räumte auch der Beschwerdeführer ein, sein Vater und seine Geschwister lebten noch vor Ort. Dennoch ist die Tragfähigkeit dieses sozialen Netzes im vorliegenden Fall zu verneinen. Diesbe­züglich ist zu betonen, dass, da der Beschwerdeführer seit seiner frühen Kindheit nicht in Afghanistan gelebt hat, an die Tragfähigkeit des sozialen Netzes umso höhere Anforderungen zu stellen sind. Beim Vater und den Geschwistern des Beschwerdeführers handelt es sich jedoch ihrerseits um Rückkehrer aus dem Iran, die dort viele Jahre verbracht hatten. Deren wirtschaftliche Situation ist ungewiss beziehungsweise ist davon auszugehen, dass sie unter schwierigen Bedingungen leben. Unter den gegebenen Umständen und angesichts der äusserst schwierigen Lage im Hei­matstaat des Beschwerdeführers kann nicht davon ausgegangen werden, dass er sich eine existenzielle Grundlage schaffen könnte. Dies umso we­niger, als der in der Kindheit begonnene langjährige Iran-Aufent­halt und der inzwischen fünfjährige Aufenthalt in der Schweiz zu einer entscheidenden Entwurzelung geführt haben dürften.</w:t>
      </w:r>
    </w:p>
    <w:p>
      <w:r>
        <w:rPr>
          <w:b/>
        </w:rPr>
        <w:t>E. 8.5</w:t>
      </w:r>
    </w:p>
    <w:p>
      <w:r>
        <w:t>Eine innerstaatliche Aufenthaltsalternative in Kabul kommt mangels genügender Bezüge des Beschwerdefüh­rers zu dieser Stadt nicht in Betracht. Zwar wohne dort noch eine Schwester, aber auch hier ist nicht von der genügenden Tragfähigkeit des Beziehungsnetzes im Sinne der Rechtsprechung auszugehen.</w:t>
      </w:r>
    </w:p>
    <w:p>
      <w:r>
        <w:rPr>
          <w:b/>
        </w:rPr>
        <w:t>E. 8.6</w:t>
      </w:r>
    </w:p>
    <w:p>
      <w:r>
        <w:t>Angesichts der gesamten Umstände ist der Vollzug der Weg­wei­sung - der aktuellen Praxis entsprechend - als unzumutbar zu be­zeich­nen. Die Voraussetzungen für die Gewährung der vorläufigen Auf­nah­me sind dem­nach erfüllt. Einer vorläufigen Aufnahme stehen im Übri­gen keine einschrän­kenden gesetzlichen Tatbestände (Art. 83 Abs. 7 AuG) entge­gen.</w:t>
      </w:r>
    </w:p>
    <w:p>
      <w:r>
        <w:rPr>
          <w:b/>
        </w:rPr>
        <w:t>E. 9</w:t>
      </w:r>
    </w:p>
    <w:p>
      <w:r>
        <w:t>Die Beschwerde ist demnach gutzuheissen, soweit sie den Vollzug der Weg­weisung betrifft; im Übrigen ist sie abzuweisen. Die Verfügung des BFM vom 11. Januar 2008 ist hinsichtlich der Ziffern 4 und 5 des Dis­posi­tivs aufzuheben und das BFM ist anzuweisen, den Be­schwerdeführer in der Schweiz vorläufig aufzunehmen.</w:t>
      </w:r>
    </w:p>
    <w:p>
      <w:r>
        <w:rPr>
          <w:b/>
        </w:rPr>
        <w:t>E. 10.1</w:t>
      </w:r>
    </w:p>
    <w:p>
      <w:r>
        <w:t>Bei diesem Ausgang des Verfahrens - das Bundesverwaltungsge­richt geht bei der vorliegenden Konstellation von einem hälftigen Durch­dringen aus - wären reduzierte Verfahrenskosten dem Beschwerdeführer aufzuerlegen (vgl. Art. 63 Abs. 1 VwVG). Da das Ge­such im Sinne von Art. 65 Abs. 1 VwVG mit Zwi­schen­verfügung vom 19. Februar 2008 gutgeheissen wurde, ist auf eine Kos­tenauflage zu verzich­ten. Gemäss Art. 64 Abs. 1 VwVG kann die Beschwerdeinstanz der ob­sie­gen­den Partei eine Parteientschädigung für die notwendigen und ver­hält­nis­mässig hohen Kosten zusprechen. Dem vertretenen Be­schwerdefüh­rer ist angesichts des teilweisen Obsiegens eine reduzier­te Parteient­schädi­gung zuzusprechen (Art. 7 Abs. 2 des Reg­lements vom 21. Feb­ruar 2008 über die Kosten und Entschädigun­gen vor dem Bundes­ver­wal­tungs­ge­richt [VGKE, SR 173.320.2]). Es wurde keine Kostennote zu den Akten gereicht. Der angefallene Aufwand lässt sich jedoch von Amtes wegen abschätzen und ist auf insgesamt Fr. 600.- festzusetzen. Das BFM wird entsprechend angewiesen, dem Beschwerdeführer eine hälf­tige Parteientschädigung in der Höhe von Fr. 300.-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