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D-901/2025 vom 30. April 2025</w:t>
      </w:r>
    </w:p>
    <w:p>
      <w:r>
        <w:t>Bundesverwaltungsgericht, 2025-04-30, DE</w:t>
      </w:r>
    </w:p>
    <w:p>
      <w:r>
        <w:rPr>
          <w:b/>
        </w:rPr>
        <w:t xml:space="preserve">Quelle: </w:t>
      </w:r>
      <w:r>
        <w:t>https://mcp.opencaselaw.ch/entscheid/bvger_D-901_2025</w:t>
      </w:r>
    </w:p>
    <w:p>
      <w:r>
        <w:t>FR: TAF D-901/2025 du 30 avril 2025</w:t>
      </w:r>
    </w:p>
    <w:p>
      <w:r>
        <w:t>IT: TAF D-901/2025 del 30 aprile 2025</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47 VGG i.V.m. Art. 67 Abs. 3 VwVG).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 et al., Prozessieren vor dem Bundesverwaltungsgericht, 3. Aufl. 2022, S. 348 Rz. 5.36). Bei einer Gutheissung des Revisionsgesuchs befände sich der Gesuchsteller somit im (ursprünglichen) ordentlichen Beschwerdeverfahren, in welchem sämtliche Beweismittel und Tatsachen, auch jene, die nach dem Urteilszeitpunkt eingereicht beziehungsweise geltend gemacht wurden, nach den für dieses Verfahren geltenden Vorschriften und Grundsätzen zu prüfen wären (vgl. Ursina Beerli-Bonorand, Die ausserordentlichen Rechtsmittel des Bundes und der Kantone, Zürich 1985, S. 165 f.).</w:t>
      </w:r>
    </w:p>
    <w:p>
      <w:r>
        <w:rPr>
          <w:b/>
        </w:rPr>
        <w:t>E. 2</w:t>
      </w:r>
    </w:p>
    <w:p>
      <w:r>
        <w:t>Der Gesuchsteller ist durch das Beschwerdeurteil D-5870/2019 vom 2. Juni 2021 besonders berührt und hat ein schutzwürdiges Interesse an dessen Aufhebung oder Änderung. Er ist daher zur Einreichung des Revisionsgesuchs legitimiert (Art. 89 Abs. 1 BGG analog; vgl. André Moser et al, a.a.O., Rz. 5.70). Zudem macht er den Revisionsgrund der Verletzung der Europäischen Menschenrechtskonvention (Art. 122 BGG) geltend. Auf das frist- und formgerecht eingereichte Revisionsgesuch ist folglich einzutreten.</w:t>
      </w:r>
    </w:p>
    <w:p>
      <w:r>
        <w:rPr>
          <w:b/>
        </w:rPr>
        <w:t>E. 3.1</w:t>
      </w:r>
    </w:p>
    <w:p>
      <w:r>
        <w:t>Gemäss Art. 122 BGG kann in öffentlich-rechtlichen Angelegenheiten die Revision eines Urteils verlangt werden, wenn der EGMR in einem endgültigen Urteil festgestellt hat, dass die EMRK verletzt worden ist (Bst. a), eine Entschädigung nicht geeignet ist, die Folgen der Verletzung auszugleichen (Bst. b) und die Revision notwendig ist, um die Verletzung zu beseitigen (Bst. c).</w:t>
      </w:r>
    </w:p>
    <w:p>
      <w:r>
        <w:rPr>
          <w:b/>
        </w:rPr>
        <w:t>E. 3.2</w:t>
      </w:r>
    </w:p>
    <w:p>
      <w:r>
        <w:t>Der EGMR hält in seinem (rechtskräftigen) Urteil M.I. gegen die Schweiz fest, dass er sich nicht grundsätzlich gegen Rückschaffungen homosexueller Personen in Staaten, in denen die Homosexualität nicht akzeptiert oder gar verfolgt werde, wende (entscheidend sei das «real risk») und er nicht von der Feststellung der schweizerischen Behörden abweiche, wonach die Verfolgung des Gesuchstellers durch seine Familie unglaubhaft sei. Die sexuelle Orientierung des Gesuchstellers könne aber, unabhängig davon, ob sie den iranischen Behörden, Familienangehörigen oder der Bevölkerung derzeit bekannt sei oder nicht, später entdeckt werden. Der Gerichtshof könne folglich der Einschätzung nicht folgen, dass es unwahrscheinlich sei, dass die iranischen Behörden oder die Bevölkerung von der sexuellen Orientierung des Gesuchstellers erfahren würden. Vor dem Hintergrund, dass Berichte - neben der Verfolgung durch den Staat und eigenmächtig handelnde Staatsangestellte («rogue officials») - auch auf eine Verfolgung durch nichtstaatliche Akteure ausserhalb der Familie hinweisen würden, stelle sich die Frage, ob der iranische Staat willens und fähig sei, den Gesuchsteller vor Übergriffen durch solche Akteure zu schützen. Da die schweizerischen Behörden davon ausgegangen seien, dass die Homosexualität des Gesuchstellers nicht öffentlich bekannt werde, hätten sie unterlassen, diesen Aspekt abzuklären. Internationale Quellen würden zudem darauf hinweisen, dass die iranischen Behörden in solchen Fällen nicht schutzwillig seien und von einer betroffenen Person nicht erwartet werden könne, dass sie angesichts der anhaltenden Kriminalisierung gleichgeschlechtlicher Beziehungen im Iran Schutz bei den Behörden suche. Folglich hätten die nationalen Gerichte das Risiko des Gesuchstellers, als homosexueller Mann im Iran misshandelt zu werden, oder die Frage, ob staatlicher Schutz vor Misshandlung durch nichtstaatliche Akteure verfügbar sei, nicht ausreichend geprüft. Dementsprechend würde der Vollzug der Wegweisung ohne eine erneute Prüfung dieser Fragen zu einer Verletzung von Art. 3 EMRK führen.</w:t>
      </w:r>
    </w:p>
    <w:p>
      <w:r>
        <w:rPr>
          <w:b/>
        </w:rPr>
        <w:t>E. 3.3</w:t>
      </w:r>
    </w:p>
    <w:p>
      <w:r>
        <w:t>Zusammenfassend ist festzustellen, dass der EGMR zum Schluss kam, dass die Schweizer Behörden den Sachverhalt nicht hinlänglich erstellt hätten und dass das Asylgesuch des Gesuchstellers genauer zu prüfen sei, ansonsten eine Verletzung der EMRK drohe. Die Ausrichtung einer Entschädigung ist vorliegend nicht geeignet, die Folgen einer Verletzung auszugleichen und die Revision ist notwendig, um die (möglicherweise) drohende Verletzung von Art. 3 EMRK zu beseitigen. Vor diesem Hintergrund ist der Revisionsgrund des Art. 122 BGG erfüllt und das Revisionsgesuch ist gutzuheissen. Das Beschwerdeurteil D-5870/2019 vom 2. Juni 2021 ist aufzuheben und das Beschwerdeverfahren ist unter einer neuen Verfahrensnummer wiederaufzunehmen (Art. 128 BGG). Die Beschwerde hat aufschiebende Wirkung. Der Gesuchsteller kann den Ausgang des Verfahrens gestützt auf Art. 42 AsylG in der Schweiz abwarten.</w:t>
      </w:r>
    </w:p>
    <w:p>
      <w:r>
        <w:rPr>
          <w:b/>
        </w:rPr>
        <w:t>E. 4.1</w:t>
      </w:r>
    </w:p>
    <w:p>
      <w:r>
        <w:t>Bei diesem Ausgang des Revisionsverfahrens sind keine Kosten zu erheben (Art. 63 Abs. 1 und 2 VwVG).</w:t>
      </w:r>
    </w:p>
    <w:p>
      <w:r>
        <w:rPr>
          <w:b/>
        </w:rPr>
        <w:t>E. 4.2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angemessen. Die vom Bundesverwaltungsgericht auszurichtende Parteientschädigung ist demnach auf Fr. 2'773.-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