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D-8/2012 vom 27. Januar 2012</w:t>
      </w:r>
    </w:p>
    <w:p>
      <w:r>
        <w:t>Bundesverwaltungsgericht, 2012-01-27, DE</w:t>
      </w:r>
    </w:p>
    <w:p>
      <w:r>
        <w:rPr>
          <w:b/>
        </w:rPr>
        <w:t xml:space="preserve">Quelle: </w:t>
      </w:r>
      <w:r>
        <w:t>https://mcp.opencaselaw.ch/entscheid/bvger_D-8_2012</w:t>
      </w:r>
    </w:p>
    <w:p>
      <w:r>
        <w:t>FR: TAF D-8/2012 du 27 janvier 2012</w:t>
      </w:r>
    </w:p>
    <w:p>
      <w:r>
        <w:t>IT: TAF D-8/2012 del 27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BVGE 2007/30). Vorliegend sah die Schweizer Botschaft in Colombo davon ab, eine persönliche Befragung des Beschwerdeführers gemäss Art. 10 Abs. 1 AsylV 1 durchzuführen und forderte ihn stattdessen mit Verfügung vom 15. Juni 2010 auf, innert dreissig Tagen ab Erhalt des Schreibens seine Asylvorbringen zu ergänzen. Wie sich aus den Akten ergibt, wurde die Verfügung des BFM dem Beschwerdeführer zwar eröffnet, doch sah dieser davon ab, seine Vorbringen zu ergänzen.</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5.1</w:t>
      </w:r>
    </w:p>
    <w:p>
      <w:r>
        <w:t>In seiner Beschwerdebegründung macht der Beschwerdeführer im Wesentlichen geltend, die Situation im Norden und Nordosten sei weiterhin geprägt von bürgerkriegsähnlichen Auseinandersetzungen. Auch das UNHCR erachte eine Rückschaffung in den Norden beziehungsweise Nordosten für ausgeschlossen. Er habe seinen Lebensmittelpunkt im Osten Sri Lankas. Seit den Fahndungsaktionen im Juni und Oktober 2008 müsse er den Aufenthaltsort täglich ändern. Er werde auch weiterhin von staatlichen Sicherheitskräften, die mit paramilitärischen Gruppen zusammenarbeiteten, bedroht. Auch Anfang Februar 2011, im Juni und Oktober 2011 hätten die Sicherheitskräfte und unbekannte Personen versucht, ihn und seine Kinder aufzuspüren. Die entsprechenden Beweismittel werde er nachreichen, weshalb er um Gewährung einer dreimonatigen Frist zur Beschaffung der Beweismittel ersuche. Zudem sei sein Haus in M._______ von der Armee bombardiert worden.</w:t>
      </w:r>
    </w:p>
    <w:p>
      <w:r>
        <w:rPr>
          <w:b/>
        </w:rPr>
        <w:t>E. 5.2</w:t>
      </w:r>
    </w:p>
    <w:p>
      <w:r>
        <w:t>Diese Vorbringen in der Rechtsmitteleingabe vom 29. Dezember 2011 sind indessen nicht geeignet, eine Änderung der vorinstanzlichen Verfügung zu bewirken. Der Argumentation des BFM werden keine stichhaltigen und überzeugenden Gründe entgegengesetzt; vielmehr beschränkt sich der Beschwerdeführer darauf, in seiner Beschwerde den Sachverhalt zu wiederholen und durch weitere Tatsachenbehauptungen zu ergänzen. So macht er beispielsweise erstmals geltend, seine Behausung sei von der Armee bombardiert worden, währenddem seinem Schreiben vom 7. April 2008 zu entnehmen ist, es sei der Tsunami gewesen, der sein Haus vollständig zerstört habe. Da indessen nicht anzunehmen ist, die sri-lankische Luftwaffe habe auf das bereits von der Flut zerstörte Haus des Beschwerdeführers zusätzlich einen Luftangriff lanciert, sind die Vorbringen des Beschwerdeführers im Lichte der tatsächlichen Verhältnisse zu interpretieren. In diesem Zusammenhang ist zur Vermeidung langer Ausführungen auf den jüngst ergangenen Grundsatzentscheid BVGE E-6220/2006 vom 27. Oktober 2011 des Bundesverwaltungsgerichts zu verweisen, in dem sich das Gericht auch zur allgemeinen Lage in der Ostprovinz geäussert hat (vgl. a.a.O. E. 13.1). Demnach trifft es zwar zu, dass es dort mit Rückendeckung der sri-lankischen Sicherheitskräfte beispielsweise zu Entführungen von (wohlhabenden) Privatpersonen durch kriminelle Banden gekommen ist. Da indessen gemäss Schreiben vom 7. April 2008 die gesamte Habe des Beschwerdeführers von der Flut weggeschwemmt wurde, handelt es sich beim Beschwerdeführer, der vordem als Ambulanzfahrer gearbeitet habe, nicht um eine der gefährdeten, weil wohlhabenden und somit exponierten Personen, weshalb die von ihm geltend gemachte Furcht unbegründet ist. Gleiches gilt bezüglich einer allfälligen Verfolgung durch die sri-lankischen Sicherheitskräfte, fehlt dem Beschwerdeführer doch ein politisches Profil, welches ihn gefährden könnte. Für das Bundesverwaltungsgericht besteht somit nach Überprüfung der Akten keine Veranlassung, die Erwägungen des Bundesamtes zu beanstanden. Um Wiederholungen zu vermeiden, kann daher auf die zutreffenden Ausführungen in der angefochtenen Verfügung verwiesen werden.</w:t>
      </w:r>
    </w:p>
    <w:p>
      <w:r>
        <w:rPr>
          <w:b/>
        </w:rPr>
        <w:t>E. 5.3</w:t>
      </w:r>
    </w:p>
    <w:p>
      <w:r>
        <w:t>Angesichts dieser Sachlage erübrigt es sich, auf die weiteren Vorbringen in der Beschwerde einzugehen, da sie am Ergebnis nichts zu ändern vermögen. Ausserdem kann in casu ohne Willkür vorweg die Annahme getroffen werden, weitere Beweiserhebungen vermöchten keine wesentlichen Erkenntnisse zu vermitteln und mithin zu keinem anderen Prüfungsergebnis zu führen (sog. antizipierte Beweiswürdigung; vgl. BVGE 2008/24 E. 7.2, EMARK 2003 Nr. 13 E. 4a S. 84), weshalb es sich erübrigt, dem Beschwerdeführer eine dreimonatige Frist zur Beschaffung irgendwelcher Beweismittel einzuräumen oder deren Eingang abzuwarten. Es ist dem Beschwerdeführer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w:t>
      </w:r>
    </w:p>
    <w:p>
      <w:r>
        <w:rPr>
          <w:b/>
        </w:rPr>
        <w:t>E. 6</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7</w:t>
      </w:r>
    </w:p>
    <w:p>
      <w:r>
        <w:t>Bei diesem Ausgang des Verfahrens wären dessen Kosten grundsätzlich dem Beschwerdeführer aufzuerlegen (Art. 63 Abs. 1). Aus verwaltungsökonomischen Gründen sowie in Anwendung von Art. 63 Abs. 1 in fine VwVG sowie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