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D-894/2024 vom 23. Januar 2024</w:t>
      </w:r>
    </w:p>
    <w:p>
      <w:r>
        <w:t>Bundesverwaltungsgericht, 2024-01-23, DE</w:t>
      </w:r>
    </w:p>
    <w:p>
      <w:r>
        <w:rPr>
          <w:b/>
        </w:rPr>
        <w:t xml:space="preserve">Quelle: </w:t>
      </w:r>
      <w:r>
        <w:t>https://mcp.opencaselaw.ch/entscheid/bvger_D-894_2024_d20240123</w:t>
      </w:r>
    </w:p>
    <w:p>
      <w:r>
        <w:t>FR: TAF D-894/2024 du 23 janvier 2024</w:t>
      </w:r>
    </w:p>
    <w:p>
      <w:r>
        <w:t>IT: TAF D-894/2024 del 23 gennaio 2024</w:t>
      </w:r>
    </w:p>
    <w:p>
      <w:pPr>
        <w:pStyle w:val="Heading2"/>
      </w:pPr>
      <w:r>
        <w:t>Regeste</w:t>
      </w:r>
    </w:p>
    <w:p>
      <w:r>
        <w:t>Asyl und Wegweisung (Wiedererw&amp;auml;gung) | Nichteintreten auf Asylgesuch und Wegweisung (Wiedererwägung); Verfügung des SEM vom 23.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D-894/2024 Seite 5</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Wiederwägungsge- such; vgl. BVGE 2014/39 E. 4.5 m.w.H.).</w:t>
      </w:r>
    </w:p>
    <w:p>
      <w:r>
        <w:rPr>
          <w:b/>
        </w:rPr>
        <w:t>E. 4.2</w:t>
      </w:r>
    </w:p>
    <w:p>
      <w:r>
        <w:t>Bei der Eingabe vom 12. Januar 2024 handelt es sich um ein (klassi- sches) Wiedererwägungsgesuch, wird doch die Änderung einer ursprüng- lich fehlerfreien Verfügung an eine nachträglich eingetretene erhebliche Veränderung der Sachlage beantragt, nämlich der Zuständigkeitsübergang für die Prüfung des Asylgesuchs auf die Schweiz nach Ablauf der Überstel- lungsfrist. In der Gesuchseingabe vom 12. Januar 2024 wird explizit darum</w:t>
      </w:r>
    </w:p>
    <w:p>
      <w:r>
        <w:t>D-894/2024 Seite 6 ersucht, den Nichteintretensentscheid wiedererwägungsweise aufzuheben und auf das Asylgesuch des Beschwerdeführers einzutreten. Die Eingabe wäre demnach als solches entgegenzunehmen und nach den spezialge- setzlichen Vorgaben im Sinne von Art. 111b AsylG zu prüfen gewesen.</w:t>
      </w:r>
    </w:p>
    <w:p>
      <w:r>
        <w:rPr>
          <w:b/>
        </w:rPr>
        <w:t>E. 4.3</w:t>
      </w:r>
    </w:p>
    <w:p>
      <w:r>
        <w:t>Das SEM hat demgegenüber keine entsprechende Verfügung (Gestal- tungsverfügung, welche Rechte oder Pflichten festlegt), sondern eine so- genannte Feststellungsverfügung im Sinne von Art. 25 VwVG erlassen, in welcher festgestellt wurde, dass kein Zuständigkeitsübergang erfolgt sei und die Frist zur Überstellung am 13. Januar 2025 ablaufe. Gestaltungs- und Feststellungsverfügungen dienen unterschiedlichen Zwecken. Bei der Gestaltungsverfügung geht es um die unmittelbare Verwirklichung der pri- vaten Interessen durch die rechtssuchende Partei. Feststellungsverfügun- gen hingegen stehen im Dienste der Rechtssicherheit und haben zum Zweck, in einer konkreten Situation rechtliche Unsicherheiten zu beseiti- gen. Aufgrund dieser unterschiedlichen Zielsetzung sind Feststellungsver- fügungen im Verhältnis zu Gestaltungsverfügungen subsidiär (BGE 108 Ib 540 E. 3 S. 546). Können Private ihre Interessen unmittelbar mit einer Ge- staltungsverfügung verwirklichen, ist im Interesse der Verfahrensökonomie der Erlass einer Feststellungsverfügung ausgeschlossen (REGINA KUHN, RÜTSCHE BERNHARD, KUHN MATHIAS, Öffentliches Verfahrensrecht, 2. Aufl., Zürich 2015; Rz. 395).</w:t>
      </w:r>
    </w:p>
    <w:p>
      <w:r>
        <w:rPr>
          <w:b/>
        </w:rPr>
        <w:t>E. 5.1</w:t>
      </w:r>
    </w:p>
    <w:p>
      <w:r>
        <w:t>Die getroffenen Feststellungen der Vorinstanz in ihrer Verfügung sind aber auch materiellrechtlich fehlerhaft.</w:t>
      </w:r>
    </w:p>
    <w:p>
      <w:r>
        <w:rPr>
          <w:b/>
        </w:rPr>
        <w:t>E. 5.2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5.3</w:t>
      </w:r>
    </w:p>
    <w:p>
      <w:r>
        <w:t>Asylsuchende können sich in Beschwerdeverfahren gegen Überstel- lungsentscheidungen auf die richtige Anwendung sämtlicher objektiver Zu- ständigkeitskriterien der Dublin-III-VO berufen, insbesondere auf Bestim- mungen, die einen Zuständigkeitsübergang infolge Fristablaufs vorsehen (vgl. BVGE 2017 VI/9 E. 5 [insb. E. 5.3.2] m.w.H.). Die Beschwerdeführen- den machen damit zulässigerweise eine Verletzung von Art. 29 Abs. 2 Dub- lin-III-VO geltend.</w:t>
      </w:r>
    </w:p>
    <w:p>
      <w:r>
        <w:t>D-894/2024 Seite 7</w:t>
      </w:r>
    </w:p>
    <w:p>
      <w:r>
        <w:rPr>
          <w:b/>
        </w:rPr>
        <w:t>E. 6.1</w:t>
      </w:r>
    </w:p>
    <w:p>
      <w:r>
        <w:t>Wird eine Überstellung nicht innerhalb der Frist von sechs Monaten seit Annahme des Aufnahmeersuchens durchgeführt, ist der zuständige Mit- gliedstaat (in casu Kroatien) nicht mehr zur Wiederaufnahme der asylsu- chenden Person verpflichtet und die Zuständigkeit geht auf den ersuchen- den Mitgliedstaat (in casu Schweiz) über. Diese Frist kann höchstens auf 18 Monate verlängert werden, wenn die Person flüchtig ist (Art. 29 Abs. 2 Dublin-III-VO).</w:t>
      </w:r>
    </w:p>
    <w:p>
      <w:r>
        <w:rPr>
          <w:b/>
        </w:rPr>
        <w:t>E. 6.2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D-4561/2023 vom 10. Oktober 2023 E. 6.2 und 7.3; E-5008/2021 vom 18. Januar 2022 E. 5.3; E-4376/2021 vom 13. Dezember 2021 E. 5.3; Ur- teil des EuGH vom 19. März 2019 C-163/17 Abubacarr Jawo/Bundesre- publik Deutschland Rn 70; ULRICH KOEHLER, Praxiskommentar zum Euro- päischen Asylzuständigkeitssystem, 2018, N 34 zu Artikel 29; CHRISTIAN FILZWIESER/ANDREA SPRUNG, Dublin III-Verordnung, 2014, K12 zu Art. 29; ALBERTO ACHERMANN ET AL. [Hrsg.], Jahrbuch für Migrationsrecht 2022/2023, S. 273). Eine einmalige Handlung oder Untätigkeit genügt (vgl. Urteile des BVGer D-835/2023 vom 17. Februar 2023 und E-833/2023 vom 16. Februar 2023, je m.w.H.).</w:t>
      </w:r>
    </w:p>
    <w:p>
      <w:r>
        <w:rPr>
          <w:b/>
        </w:rPr>
        <w:t>E. 6.3</w:t>
      </w:r>
    </w:p>
    <w:p>
      <w:r>
        <w:t>Das SEM wirft den Beschwerdeführenden vor, dass sie sich im Novem- ber und Dezember 2023 sowie im Januar 2024 an einzelnen Tagen nicht in der ihnen zugewiesenen Unterkunft aufgehalten hätten. Aus den Akten ergibt sich jedoch, dass diese kurzen Abwesenheiten nicht ursächlich für die nicht erfolgte Überstellung waren. Vielmehr hatten sie keinerlei Einfluss auf diese. Die Beschwerdeführenden leisteten offenbar der zweiten Vorla- dung zum Ausreisegespräch Folge und aus den Akten ist nicht ersichtlich, dass sie am (…), d.h. dem Tag des am (…) angekündigten Sonderflugs für die Behörden nicht erreichbar gewesen wären. Ursächlich für die Nicht- überstellung war denn auch nicht das Verhalten der Beschwerdeführen- den, sondern dasjenige der Vollzugsbehörden, denen es offenbar nicht ge- lungen ist, das entsprechende Formular (Medical Information Forms</w:t>
      </w:r>
    </w:p>
    <w:p>
      <w:r>
        <w:t>D-894/2024 Seite 8 [MediF]) bereitzustellen. Mangels Kausalität für das Scheitern der Über- stellung sind die Beschwerdeführenden folglich nicht als flüchtig zu erach- ten. Im Übrigen ist zu erwähnen, dass die Beschwerdeführenden dem SEM zu Recht treuwidriges Verhalten vorwerfen, zumal es nicht angebracht ist, sich erst dann auf offenbar fehlbares Verhalten der Beschwerdeführenden zu berufen, nachdem eine Überstellung wegen Verschuldens der Vollzugsbe- hörden gescheitert ist.</w:t>
      </w:r>
    </w:p>
    <w:p>
      <w:r>
        <w:rPr>
          <w:b/>
        </w:rPr>
        <w:t>E. 6.4</w:t>
      </w:r>
    </w:p>
    <w:p>
      <w:r>
        <w:t>Nach dem Gesagten hat die Vorinstanz die Beschwerdeführenden zu Unrecht als "flüchtig" im Sinne von Art. 29 Abs. 2 Dublin-III-VO bezeichnet</w:t>
      </w:r>
    </w:p>
    <w:p>
      <w:r>
        <w:rPr>
          <w:b/>
        </w:rPr>
        <w:t>E. 6.5</w:t>
      </w:r>
    </w:p>
    <w:p>
      <w:r>
        <w:t>Daraus folgt, dass nach Ablauf der sechsmonatigen Überstellungsfrist Kroatien von seiner Verpflichtung, die Beschwerdeführenden aufzuneh- men beziehungsweise wiederaufzunehmen, befreit worden und die Zu- ständigkeit für die Behandlung des Asyl- und Wegweisungsverfahrens auf den ersuchenden Staat, mithin die Schweiz, übergegangen ist.</w:t>
      </w:r>
    </w:p>
    <w:p>
      <w:r>
        <w:rPr>
          <w:b/>
        </w:rPr>
        <w:t>E. 7</w:t>
      </w:r>
    </w:p>
    <w:p>
      <w:r>
        <w:t>Aus diesen Erwägungen ergibt sich, dass die angefochtene Verfügung Bundesrecht verletzt (Art. 49 Bst. a VwVG). Sie ist in Gutheissung der Be- schwerde aufzuheben. Die Vorinstanz ist anzuweisen, das Asyl- und Weg- weisungsverfahren in der Schweiz durchzuführen.</w:t>
      </w:r>
    </w:p>
    <w:p>
      <w:r>
        <w:rPr>
          <w:b/>
        </w:rPr>
        <w:t>E. 8</w:t>
      </w:r>
    </w:p>
    <w:p>
      <w:r>
        <w:t>Bei diesem Ausgang des Verfahrens sind keine Kosten zu erheben (Art. 63 Abs. 1 und 2 VwVG).</w:t>
      </w:r>
    </w:p>
    <w:p>
      <w:r>
        <w:rPr>
          <w:b/>
        </w:rPr>
        <w:t>E. 9</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zu den Akten gereicht, weshalb die notwendi- gen Parteikosten aufgrund der Akten zu bestimmen sind (Art. 14 Abs. 2 in fine VGKE). Die von der Vorinstanz auszurichtende Parteientschädigung wird in Anwendung der genannten Bestimmungen und unter Berücksichti- gung der massgeblichen Bemessungsfaktoren demnach von Amtes wegen auf insgesamt Fr. 1’200.– festgelegt.</w:t>
      </w:r>
    </w:p>
    <w:p>
      <w:r>
        <w:t>D-894/2024 Seite 9</w:t>
      </w:r>
    </w:p>
    <w:p>
      <w:r>
        <w:t>(Dispositiv nächste Seite)</w:t>
      </w:r>
    </w:p>
    <w:p>
      <w:r>
        <w:t>D-894/2024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