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D-894/2021 vom 22. Januar 2021</w:t>
      </w:r>
    </w:p>
    <w:p>
      <w:r>
        <w:t>Bundesverwaltungsgericht, 2021-01-22, DE</w:t>
      </w:r>
    </w:p>
    <w:p>
      <w:r>
        <w:rPr>
          <w:b/>
        </w:rPr>
        <w:t xml:space="preserve">Quelle: </w:t>
      </w:r>
      <w:r>
        <w:t>https://mcp.opencaselaw.ch/entscheid/bvger_D-894_2021_d20210122</w:t>
      </w:r>
    </w:p>
    <w:p>
      <w:r>
        <w:t>FR: TAF D-894/2021 du 22 janvier 2021</w:t>
      </w:r>
    </w:p>
    <w:p>
      <w:r>
        <w:t>IT: TAF D-894/2021 del 22 gennaio 2021</w:t>
      </w:r>
    </w:p>
    <w:p>
      <w:pPr>
        <w:pStyle w:val="Heading2"/>
      </w:pPr>
      <w:r>
        <w:t>Regeste</w:t>
      </w:r>
    </w:p>
    <w:p>
      <w:r>
        <w:t>Asyl und Wegweisung | Asyl und Wegweisung; Verfügung des SEM vom 22. Januar 2021</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Verfügungsadres- 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t>D-894/2021 Seite 5</w:t>
      </w:r>
    </w:p>
    <w:p>
      <w:r>
        <w:rPr>
          <w:b/>
        </w:rPr>
        <w:t>E. 4.1</w:t>
      </w:r>
    </w:p>
    <w:p>
      <w:r>
        <w:t>Die Beschwerdeführerin rügt in formeller Hinsicht eine Verletzung des Untersuchungsgrundsatzes beziehungsweise der Pflicht zur vollständigen und richtigen Abklärung des rechtserheblichen Sachverhalts; diese Rügen sind vorab zu beurteilen, da sie gegebenenfalls geeignet sind, eine Kassa- tion der vorinstanzlichen Verfügung zu bewirken. Sie begründet ihre Rüge damit, dass die Vorinstanz es versäumt habe, sie zur Einreichung konkre- ter – allenfalls aus Sicht des SEM fehlender – Unterlagen aufzufordern.</w:t>
      </w:r>
    </w:p>
    <w:p>
      <w:r>
        <w:rPr>
          <w:b/>
        </w:rPr>
        <w:t>E. 4.2</w:t>
      </w:r>
    </w:p>
    <w:p>
      <w:r>
        <w:t>Gemäss Art. 6 AsylG i.V.m. Art. 12 VwVG stellen die Asylbehörden den Sachverhalt von Amtes wegen fest (Untersuchungsgrundsatz). Die Unter- suchungsmaxime besagt, dass die Behörde von Amtes wegen für die rich- tige und vollständige Abklärung des rechtserheblichen Sachverhalts zu sorgen, die für das Verfahren notwendigen Unterlagen zu beschaffen, die rechtlich relevanten Umstände abzuklären und ordnungsgemäss darüber Beweis zu führen hat. Solange Zweifel an der Richtigkeit oder Vollständigkeit des Sachverhalts bestehen, haben sie weitere Abklärungen zu treffen, zumal die korrekte Ermittlung des Sachverhalts unabdingbare Voraussetzung der richtigen Rechtsanwendung ist (vgl. WIEDERKEHR/MEYER/BÖHME, in: VwVG Kommentar, Bundesgesetz über das Verwaltungsverfahren und weitere Erlasse, 2022, Art. 12 N 2 ff.).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BVGE 2016/2 E. 4.3). Der in Art. 32 VwVG konkretisierte Teilgehalt des rechtlichen Gehörs ver- pflichtet die Vorinstanz nicht nur, den Parteien zu ermöglichen, sich zu äus- sern und ihre Vorbringen tatsächlich zu hören, sondern sie auch sorgfältig und ernsthaft zu prüfen und in der Entscheidfindung zu berücksichtigen (Art. 30 VwVG [Pflicht zur Anhörung] und Art. 32 VwVG [Pflicht zur Würdi- gung der Vorbringen]).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 teressen der Betroffenen doch allgemein schwer (vgl. SUTTER, in: Kom- mentar VwVG, 2008, Art. 32 VwVG, Rz. 2). Insgesamt muss der Entscheid</w:t>
      </w:r>
    </w:p>
    <w:p>
      <w:r>
        <w:t>D-894/2021 Seite 6 so abgefasst sein, dass ihn der Betroffene sachgerecht anfechten kann, was nur möglich ist, wenn sich sowohl der Betroffene als auch die Rechts- mittelinstanz über die Tragweite des Entscheides ein Bild machen können. Dabei darf die Behörde nur diejenigen Argumente stillschweigend überge- hen, die für den Entscheid erkennbar unbehelflich sind (vgl. BGE 134 I 83 E. 4.1; BVGE 2007/21 E. 10.2 m.w.H.).</w:t>
      </w:r>
    </w:p>
    <w:p>
      <w:r>
        <w:rPr>
          <w:b/>
        </w:rPr>
        <w:t>E. 4.3</w:t>
      </w:r>
    </w:p>
    <w:p>
      <w:r>
        <w:t>Das SEM begründet die angefochtene Verfügung im Wesentlichen da- mit, dass die Beschwerdeführerin lediglich an verschiedenen Veranstalt- ungen der HDP teilgenommen habe; eine spezifische Funktion habe sie nicht innegehabt und sie sei auch nicht Mitglied der Partei gewesen. Die Beschwerdeführerin sei zwar Angeklagte in diversen Strafverfahren in der Türkei, sie sei jedoch (zumindest teilweise) erstinstanzlich freigesprochen worden. Bei dem eingereichten gerichtlichen Vorführbefehl handle es sich denn lediglich um einen prozessualen Festnahmebeschluss der zweiten Instanz, da die die Beschwerdeführerin freisprechenden Urteile durch die Staatsanwaltschaft angefochten worden und diese Berufungsverfahren noch hängig seien. Es sei bisher keine Strafe gegen die Beschwerde- führerin ausgefällt worden, welche aus einem der in Art. 3 Abs. 1 AsyIG genannten Gründe deutlich höher als bei anderen Personen ausgefallen oder unverhältnismässig streng wäre und in keinem Verhältnis zum krimi- nellen Unrecht stehen würde. Eine Kollektivverfolgung von Personen kur- discher Ethnie finde sodann in der Türkei nicht statt. Die Verwandtschaft mit politischen Aktivisten wie dem Bruder, welchem in der Schweiz im Jahr 2013 Asyl gewährt worden sei, begründe im Regelfall keine Furcht vor asyl- relevanter Reflexverfolgung. Dementsprechend sei in einer Gesamtwürdi- gung festzustellen, dass die Beschwerdeführerin bislang zu keiner Strafe verurteilt worden sei, weshalb ihre Vorbringen den Anforderungen an die Flüchtlingseigenschaft nicht stand hielten.</w:t>
      </w:r>
    </w:p>
    <w:p>
      <w:r>
        <w:rPr>
          <w:b/>
        </w:rPr>
        <w:t>E. 4.4</w:t>
      </w:r>
    </w:p>
    <w:p>
      <w:r>
        <w:t>Aus den Akten ergibt sich, dass die Beschwerdeführerin bereits wäh- rend des erstinstanzlichen Verfahrens diverse Beweismittel zu den vom SEM nicht in Zweifel gezogenen Strafverfahren in der Türkei zu den Akten reichte (vgl. beispielsweise A31/34). Die Vorinstanz gibt diese, ohne ihre Authentizität in Frage zu stellen, denn in der angefochtenen Verfügung auch wieder. Ob die knappen Ausführungen, wonach angesichts der (teil- weisen) erstinstanzlichen Freisprüche keine Strafe gegen die Beschwer- deführerin ausgesprochen worden sei (vgl. A36/8, S. 4 f.), einer sorgfälti- gen und differenzierten inhaltlichen Auseinandersetzung mit den einge- reichten Beweismitteln zu genügen vermögen, kann aufgrund des Nachfol- genden offen bleiben. Denn gemäss den weiteren Ausführungen des SEM</w:t>
      </w:r>
    </w:p>
    <w:p>
      <w:r>
        <w:t>D-894/2021 Seite 7 in der angefochtenen Verfügung, habe die Beschwerdeführerin kein be- gründetes erstinstanzliches Strafurteil vorgelegt. Gemäss den Ausführun- gen der Vorinstanz sei dabei insbesondere das erstinstanzliche Urteil der Kammer 2 des Schweren Strafgerichts von C._______, vom 24. November 2017 (mit der Verfahrensnummer […] und der Urteilsnummer […]) von In- teresse, welches offenbar ebenfalls angefochten worden sei (vgl. a.a.O., S. 5). Demgemäss war die Vorinstanz im Verfügungszeitpunkt selbst der Ansicht, die sich bei den Akten befindenden Beweismittel genügten zur vollständigen Sachverhaltsfeststellung nicht. Sie wäre somit gehalten ge- wesen, die geltend gemachten Strafverfahren betreffend zusätzliche Ab- klärungen vorzunehmen und alle diesbezüglich beachtlichen Aspekte des Sachverhalts abzuklären, zumal das SEM, sich nach den erstinstanzlichen türkischen Urteilen, die es offensichtlich als wesentlich erachtete, hätte er- kundigen sollen. Mit seinem Schreiben vom 2. Juli 2020 forderte es die Be- schwerdeführerin lediglich dazu auf, Auskunft zum aktuellen Stand der Ge- richtsverfahren zu geben und «neu entstandene Gerichtsdokumente» ein- zureichen (vgl. A26/3). Der Untersuchungspflicht wurde damit – auch unter Berücksichtigung der Mitwirkungspflicht – nicht Genüge getan. Letztlich er- schliesst sich aus den Erwägungen des SEM auch nicht, inwiefern die erst- instanzlichen Urteile im Verhältnis zu den übrigen Dokumenten besonders gewichtig sein sollen. Eine rechtsgenügliche Begründung dazu fehlt. Darüber hinaus ist denn auch festzustellen, dass die Beschwerdeführerin mit Eingabe vom 16. März 2021 an das Bundesverwaltungsgericht diverse weitere Beweismittel betreffend die gegen sie erhobenen Strafverfahren zu den Akten reichen liess, mithin auch die Gerichtsprotokolle und Urteile der Verfahren Nr. (…) und Nr. (…) in türkischer Sprache (vgl. Eingabe vom 16. März 2021, Beilage 16 und 18). Die Vorinstanz würdigte diese in ihrer darauf folgenden ersten Vernehmlassung mangels Übersetzung nicht (vgl. Vernehmlassung vom 26. April 2021). Mit Eingabe vom 31. August 2021 liess die Beschwerdeführerin neuerlich weitere Beweismittel – unter anderem Teilübersetzungen der Gerichtsprotokolle des Verfahrens Nr. (…) zu den Akten reichen. Aufgrund der äusserst knappen Ausführungen der Vorinstanz in der zweiten Vernehmlassung, worin sie sich ohne nähere Be- gründung auf den Standpunkt stellte, dass auch die weiteren zu den Akten gereichten Dokumente eine Änderung ihres Standpunktes nicht rechtfer- tigten (vgl. zweite Vernehmlassung vom 10. Januar 2022), steht fest, dass die Vorinstanz es ein weiteres Mal versäumte, sich mit den Beweismitteln der Beschwerdeführerin und folglich auch mit ihren diesbezüglichen Vor- bringen auseinanderzusetzen.</w:t>
      </w:r>
    </w:p>
    <w:p>
      <w:r>
        <w:t>D-894/2021 Seite 8</w:t>
      </w:r>
    </w:p>
    <w:p>
      <w:r>
        <w:rPr>
          <w:b/>
        </w:rPr>
        <w:t>E. 4.5</w:t>
      </w:r>
    </w:p>
    <w:p>
      <w:r>
        <w:t>Demgemäss ist festzustellen, dass die Vorinstanz den rechtserhebli- chen Sachverhalt unvollständig festgestellt hat und ihrer Pflicht, die rechts- erheblichen Vorbringen sorgfältig und ernsthaft zu prüfen und zu würdigen in ungenügender Weise nachgekommen ist. Damit hat sie den Untersu- chungsgrundsatz sowie den Anspruch der Beschwerdeführerin auf rechtli- ches Gehör verletzt.</w:t>
      </w:r>
    </w:p>
    <w:p>
      <w:r>
        <w:rPr>
          <w:b/>
        </w:rPr>
        <w:t>E. 5.1</w:t>
      </w:r>
    </w:p>
    <w:p>
      <w:r>
        <w:t>Gemäss Art. 61 Abs. 1 VwVG entscheidet das Bundesverwaltungs- gericht in der Sache selbst oder weist diese ausnahmsweise mit verbindli- chen Weisungen an die Vorinstanz zurück. Eine Kassation und Rück- weisung an die Vorinstanz ist insbesondere angezeigt, wenn weitere Tat- 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5.2</w:t>
      </w:r>
    </w:p>
    <w:p>
      <w:r>
        <w:t>Vorliegend stellen die ungenügenden Abklärungen und die fehlende Auseinandersetzung mit den Vorbringen und eingereichten Beweismitteln einen relevanten Verfahrensmangel dar. Da die Vorinstanz das Versäumte im Rahmen des Schriftenwechsels nicht nachgeholt hat, kommt auf Be- schwerdeebene keine Heilung in Betracht, zumal das Bundesverwaltungs- gericht die einzige Beschwerdeinstanz ist (vgl. zum Ganzen BVGE 2009/53 E. 7.3).</w:t>
      </w:r>
    </w:p>
    <w:p>
      <w:r>
        <w:rPr>
          <w:b/>
        </w:rPr>
        <w:t>E. 6</w:t>
      </w:r>
    </w:p>
    <w:p>
      <w:r>
        <w:t>Nach dem Gesagten ist die Beschwerde insofern gutzuheissen, als mit ihr die Aufhebung der angefochtenen Verfügung und Rückweisung an die Vo- rinstanz beantragt wird. Die Verfügung des SEM vom 22. Januar 2021 ist aufzuheben, und die Sache in Anwendung von Art. 61 Abs. 1 in fine VwVG zur vollständigen Sachverhaltsermittlung und Neubeurteilung im Sinne der Erwägungen an die Vorinstanz zurückzuweisen. Bei dieser Sachlage erüb- rigt es sich, auf die materiellen Rügen der Beschwerdeführerin einzugehen und ihr Gesuch um Bevorschussung der Übersetzungskosten ist gegen- standslos geworden.</w:t>
      </w:r>
    </w:p>
    <w:p>
      <w:r>
        <w:rPr>
          <w:b/>
        </w:rPr>
        <w:t>E. 7</w:t>
      </w:r>
    </w:p>
    <w:p>
      <w:r>
        <w:t>Bei diesem Ausgang des Verfahrens sind keine Verfahrenskosten zu erhe- ben (Art. 63 Abs. 1 und 2 VwVG).</w:t>
      </w:r>
    </w:p>
    <w:p>
      <w:r>
        <w:t>D-894/2021 Seite 9</w:t>
      </w:r>
    </w:p>
    <w:p>
      <w:r>
        <w:rPr>
          <w:b/>
        </w:rPr>
        <w:t>E. 8.1</w:t>
      </w:r>
    </w:p>
    <w:p>
      <w:r>
        <w:t>Der Beschwerdeführerin ist angesichts ihres Obsiegens in Anwendung von Art. 64 VwVG und Art. 7 des Reglements vom 21. Februar 2008 über die Kosten und Entschädigungen vor dem Bundesverwaltungsgericht (VGKE, SR 173.320.2) eine Entschädigung für die ihr notwendigerweise erwachsenen Parteikosten zuzusprechen.</w:t>
      </w:r>
    </w:p>
    <w:p>
      <w:r>
        <w:rPr>
          <w:b/>
        </w:rPr>
        <w:t>E. 8.2</w:t>
      </w:r>
    </w:p>
    <w:p>
      <w:r>
        <w:t>Die Rechtsvertreterin der Beschwerdeführerin reichte letztmals am 6. Juni 2023 eine Kostennote ein (Aufwand von rund 26 Stunden à Fr. 250.– und Auslagen von gesamthaft Fr. 148.50; inkl. zeitlichen Auf- wands/ Auslagen von Rechtsanwalt Felix Schöpfer). Der für die Bemühun- gen ausgewiesene zeitliche Aufwand erscheint aufgrund der Akten über- höht. Angesichts dessen, dass das Gericht der Beschwerdeführerin res- pektive ihrer Rechtsvertretung mehrfach mitteilte, dass ihr kein genauer Urteilszeitpunkt genannt werden könne, sind insbesondere die ausgewie- senen Aufwendungen für die zahlreichen Verfahrensstandanfragen als nicht notwendig zu erachten. Der ausgewiesene zeitliche Aufwand ist dem- entsprechend auf 16 Stunden zu kürzen. Der Stundenansatz von Fr. 250.– liegt innerhalb der in Art. 10 Abs. 2 VGKE definierten Spannbreite und ist somit nicht zu beanstanden. Die Vorinstanz wird demnach angewiesen, der Beschwerdeführerin eine Parteientschädigung in der Höhe von Fr. 4'470.– (inkl. Auslagen und Mehrwertsteuerzuschlag) auszurichten. Die unentgelt- liche Rechtsverbeiständung ist gegenstandslos geworden. (Dispositiv nächste Seite)</w:t>
      </w:r>
    </w:p>
    <w:p>
      <w:r>
        <w:t>D-894/2021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