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D-892/2021 vom 26. April 2021</w:t>
      </w:r>
    </w:p>
    <w:p>
      <w:r>
        <w:t>Bundesverwaltungsgericht, 2021-04-26, DE</w:t>
      </w:r>
    </w:p>
    <w:p>
      <w:r>
        <w:rPr>
          <w:b/>
        </w:rPr>
        <w:t xml:space="preserve">Quelle: </w:t>
      </w:r>
      <w:r>
        <w:t>https://mcp.opencaselaw.ch/entscheid/bvger_D-892_2021</w:t>
      </w:r>
    </w:p>
    <w:p>
      <w:r>
        <w:t>FR: TAF D-892/2021 du 26 avril 2021</w:t>
      </w:r>
    </w:p>
    <w:p>
      <w:r>
        <w:t>IT: TAF D-892/2021 del 26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Bundesverwaltungsgericht ist daher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oder das AsylG nichts Anderes bestimmen (Art. 37 VGG; Art. 6 und Art. 105 ff.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E-3772/2020 vom 12. August 2020 E. 4.2).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gelangte in seiner angefochtenen Verfügung zum Schluss, die Vorbringen des Beschwerdeführers vermöchten keine Asylrelevanz zu entfalten und hielten daher den Anforderungen an die Flüchtlingseigenschaft gemäss Art. 3 AsylG nicht stand.</w:t>
      </w:r>
    </w:p>
    <w:p>
      <w:r>
        <w:rPr>
          <w:b/>
        </w:rPr>
        <w:t>E. 5.1.1</w:t>
      </w:r>
    </w:p>
    <w:p>
      <w:r>
        <w:t>Es stellte dabei (vgl. S. 4) fest, bei den Vorbringen des Beschwerdeführers, er sei wegen seines Engagements als (...) dreimal von unbekannten Männern beschimpft und bedroht worden, handle es sich um Übergriffe beziehungsweise Drohungen Dritter. Solche Übergriffe seien nur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Der kolumbianische Staat verfüge über eine funktionierende Schutzinfrastruktur, welche eine effektive Strafverfolgung ermögliche; Massnahmen gegen Leib und Leben könnten bei den Behörden zur Anzeige gebracht werden. Der Beschwerdeführer habe jedoch einzig den ersten Vorfall bei der Ombudsstelle für Menschenrechte der Gemeinde B._______ gemeldet. In der eingereichten Anzeige stehe, dass er sich an die zuständigen Behörden wenden sollte, was er indessen nicht gemacht und damit den kolumbianischen Behörden nicht die Möglichkeit gegeben habe, ihn zu beschützen. Es liege aber in der eigenen Verantwortung des Beschwerdeführers, sich bei den Behörden zu melden und Schutz zu verlangen. Seine Erklärung, er habe keine Strafanzeige bei den Behörden erstattet, weil er in einem solchen Fall seine Telefonnummer und andere Informationen hätten preisgeben müssen, sei indes gar nicht nachvollziehbar, benötigten doch die Behörden Informationen über die zu beschützende Person. Gleichzeitig müsse festgehalten werden, dass es keinem Staat gelingen könne, die absolute Sicherheit seiner Bürgerinnen und Bürger jederzeit und überall zu garantieren.</w:t>
      </w:r>
    </w:p>
    <w:p>
      <w:r>
        <w:rPr>
          <w:b/>
        </w:rPr>
        <w:t>E. 5.1.2</w:t>
      </w:r>
    </w:p>
    <w:p>
      <w:r>
        <w:t>Die kolumbianische Regierung habe für den Schutz bedrohter Personen eine zuständige Institution geschaffen, die dem Innenministerium angegliederte Unidad de Protección Nacional (UNP). Personen oder Gemeinschaften, welche zu gewissen vordefinierten Bevölkerungsgruppen gehörten, könnten einen Antrag auf staatlichen Schutz stellen, welcher von der UNP geprüft und je nach resultierender Risikoeinschätzung genehmigt werde. Die möglichen Schutzmassnahmen reichten von Panikknöpfen oder Notfallnummern bis zu schusssicheren Fahrzeugen, mehrfachem Personenschutz und Umsiedlungen. Das Budget der UNP habe sich in den vergangenen Jahren stetig erhöht auf aktuell ungefähr 250 Millionen US-Dollar. Zurzeit stünden mehrere Tausend Personen unter einer dieser Schutzmassnahmen, und auch Menschenrechtsorganisationen seien sich grundsätzlich einig, dass die UNP in vielen Fällen ihren Zweck erfülle. Der Beschwerdeführer als (...) und am Friedensprozess beteiligter (...) qualifiziere sich für den Schutz durch die UNP. Er könne mit deren Hilfe auch in einen anderen Teil von Kolumbien umziehen und sich so den Bedrohungen entziehen. Er sei daher nicht auf den Schutz der Schweiz angewiesen.</w:t>
      </w:r>
    </w:p>
    <w:p>
      <w:r>
        <w:rPr>
          <w:b/>
        </w:rPr>
        <w:t>E. 5.1.3</w:t>
      </w:r>
    </w:p>
    <w:p>
      <w:r>
        <w:t>Bei fehlender Asylrelevanz könne auf die Prüfung der anderen eingereichten Beweismittel verzichtet werden. Abgesehen von der bereits genannten Anzeige bei der Ombudsstelle für Menschenrechte und den Bestätigungen über die Arbeit als (...) sowie die Tätigkeit in (...) handelten die anderen Beweismittel von der allgemeinen Situation in Kolumbien und beträfen den Beschwerdeführer nicht persönlich.</w:t>
      </w:r>
    </w:p>
    <w:p>
      <w:r>
        <w:rPr>
          <w:b/>
        </w:rPr>
        <w:t>E. 5.2</w:t>
      </w:r>
    </w:p>
    <w:p>
      <w:r>
        <w:t>In der Beschwerdeschrift (vgl. S. 5) wird vorab festgestellt, dem angefochtenen Entscheid könne nicht entnommen werden, dass die Vorinstanz die Glaubwürdigkeit der Vorbringen des Beschwerdeführers anzweifle. Im Weiteren wird - unter Wiederholung der anlässlich der Anhörungen geschilderten Ereignisse - geltend gemacht, der Beschwerdeführer habe nicht nur eine asylrelevante Vorverfolgung erlitten, sondern auch begründete Furcht vor künftiger Verfolgung. Er habe im Rahmen der Anhörungen zahlreiche Namen von Aktivisten und Aktivistinnen sowie Weggefährten genannt, welche zeitnah zu seiner eigenen Bedrohungslage umgebracht worden seien. Die Tatsache, dass die kolumbianischen Behörden Listen mit Opfern und bedrohten Personen führten und eine spezielle nationale Schutzeinheit, die UNP, wenn auch lediglich mit vermeintlich protektiver Wirkung, geschaffen hätten, sei selbstredend, erachte doch auch das SEM den Beschwerdeführer aufgrund seines politischen Engagements als gefährdet (vgl. Beschwerde S. 7 unten). Sodann wird - unter Hinweis auf zahlreiche im Internet einsehbare Berichte zur Lage in Kolumbien - gerügt, die Vorinstanz verkenne die Realität in Kolumbien. Insbesondere könne dem Beschwerdeführer keine innerstaatliche Schutzalternative entgegengehalten werden. Dabei habe es das SEM unterlassen, die Effektivität des Schutzes vor Verfolgung im Heimatstaat abzuklären und zu begründen (vgl. Beschwerde S. 8). Trotz Corona-Epidemie sei im vergangenen Jahr die Zahl der getöteten Umweltaktivisten und Menschenrechtler angestiegen, wobei ein Grossteil der Gewalttaten bislang ungeklärt geblieben sei. Entgegen der Einschätzung der Vorinstanz seien die staatlichen Institutionen und die von diesen teilweise angebotenen Schutzmechanismen als ineffektiv zu bezeichnen; der Beschwerdeführer kenne Aktivisten aus seinem persönlichen Umfeld, welche trotz der von der UNP zur Verfügung gestellten Schutzmassnahmen ihr Leben verloren hätten (vgl. Beschwerde S. 9 ff.). Wie sodann der eingereichten Registrierungsbestätigung entnommen werden könne, habe sich der Beschwerdeführer tatsächlich um Schutz bemüht. An die Polizei habe er sich aber nicht wenden wollen, weil ein solcher Schritt zusätzliches Gefahrenpotenzial generiert hätte. Die Polizei geniesse in der Bevölkerung aufgrund ihres fehlenden Aufklärungswillens und ihrer sozialen Stigmatisierung sozialer Aktivistinnen und Aktivisten nicht viel Vertrauen. Im Übrigen sei es sogar möglich, dass es sich bei den ihn bedrohenden Personen um Polizisten in Zivil gehandelt habe; falls dies zutreffen würde, hätte eine Anzeige bei der Polizei eine weitere Gefährdung seiner Person zur Folge gehabt (vgl. Beschwerde S. 13 f.).</w:t>
      </w:r>
    </w:p>
    <w:p>
      <w:r>
        <w:rPr>
          <w:b/>
        </w:rPr>
        <w:t>E. 6.1</w:t>
      </w:r>
    </w:p>
    <w:p>
      <w:r>
        <w:t>Soweit in der Beschwerdeschrift formelle Rügen (eine Verletzung der Pflicht zur genauen Abklärung und Begründung in Bezug auf die Effektivität des Schutzes vor Verfolgung im Heimatstaat; vgl. Beschwerde S. 8) erhoben werden, sind diese vorab zu prüfen, da sie allenfalls geeignet wären, eine Kassation der vorinstanzlichen Verfügung herbeizuführen.</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6.3</w:t>
      </w:r>
    </w:p>
    <w:p>
      <w:r>
        <w:t>Aus den Akten ergeben sich keine Hinweise, dass das SEM seine Pflicht zur richtigen und vollständigen Abklärung des rechtserheblichen Sachverhalts nicht ausreichend wahrgenommen hätte. In seiner Verfügung vom 27. Januar 2021 (vgl. S. 3-5) hat es hinreichend differenziert darlegt, wieso es zum Schluss gelangte, dass der Beschwerdeführer nicht auf den Schutz der Schweiz angewiesen sei und die Flüchtlingseigenschaft nicht erfülle. Gestützt darauf konnte der Beschwerdeführer denn auch die Verfügung rechtsgenüglich anfechten. Der blosse Umstand, dass der Beschwerdeführer die vom SEM gezogenen Schlüsse nicht teilt, ist keine Verletzung der Begründungspflicht beziehungsweise des Anspruchs auf rechtliches Gehör, sondern eine materielle Frage. Dasselbe gilt auch für den Vorwurf der Verletzung der Abklärungspflicht, soweit sich dieser im Kern nicht gegen die Sachverhaltsfeststellungen der Vorinstanz, sondern gegen die rechtliche Würdigung der Vorbringen richtet.</w:t>
      </w:r>
    </w:p>
    <w:p>
      <w:r>
        <w:rPr>
          <w:b/>
        </w:rPr>
        <w:t>E. 6.4</w:t>
      </w:r>
    </w:p>
    <w:p>
      <w:r>
        <w:t>Die formellen Rügen erweisen sich angesichts dieser Sachlage als unbegründet, weshalb keine Veranlassung besteht, die SEM-Verfügung vom 27. Januar 2021 aus formellen Gründen aufzuheben und die Sache zur vollständigen Sachverhaltsabklärung beziehungsweise zur Neubeurteilung an die Vorinstanz zurückzuweisen.</w:t>
      </w:r>
    </w:p>
    <w:p>
      <w:r>
        <w:rPr>
          <w:b/>
        </w:rPr>
        <w:t>E. 7.1</w:t>
      </w:r>
    </w:p>
    <w:p>
      <w:r>
        <w:t>Nach eingehender Prüfung der Akten ist festzustellen, dass die grundsätzlich als glaubhaft zu qualifizierenden Vorbringen des Beschwerdeführers den Anforderungen an die Flüchtlingseigenschaft gemäss Art. 3 AsylG nicht standhalten, wobei zur Vermeidung von Wiederholungen im Wesentlichen auf die Ausführungen in der angefochtenen Verfügung verwiesen werden kann (vgl. auch vorstehend E. 5.1).</w:t>
      </w:r>
    </w:p>
    <w:p>
      <w:r>
        <w:rPr>
          <w:b/>
        </w:rPr>
        <w:t>E. 7.2</w:t>
      </w:r>
    </w:p>
    <w:p>
      <w:r>
        <w:t>Wie das SEM zutreffend dargelegt hat, handelt es sich bei den geschilderten Behelligungen um Übergriffe Dritter. Ohne die auf Beschwerdeebene geltend gemachte, in verschiedenen Gegenden Kolumbiens bisweilen prekäre Sicherheitslage in Abrede stellen zu wollen, geht auch das Bundesverwaltungsgericht einerseits von der grundsätzlichen Schutzfähigkeit und Schutzwilligkeit der kolumbianischen Strafverfolgungs- und Justizbehörden aus. Anderseits ist nicht ersichtlich, dass und weshalb dem Beschwerdeführer die bestehende Schutzinfrastruktur nicht zugänglich oder ihm deren Inanspruchnahme aus individuellen Gründen nicht zuzumuten gewesen wäre. Diese Annahme wird durch die Tatsache bestätigt, dass sowohl der vom Beschwerdeführer am 22. November 2019 auf der (...) zur Anzeige gebrachte Vorfall vom 21. November 2019 als auch die Anmeldung für die Aufnahme ("Constancia de Solicitud de Inscripción") im "Registro Único de Victimas" am 20. Dezember 2019 entgegengenommen wurde, wobei trotz nicht expliziter Nennung des Namens des Antragsstellers davon auszugehen ist, dass die Anmeldung für die Aufnahme im "Registro Único de Victimas" den Beschwerdeführer betrifft. Entgegen der entsprechenden Feststellung der Vorinstanz (vgl. angefochtene Verfügung S. 4, 7. Abschnitt) ist in der Anzeige vom 22. November 2019 höchstens sinngemäss vermerkt, dass der Beschwerdeführer sich an die zuständigen Behörden wenden müsse (Dieses Protokoll wird auf Antrag der Betroffenen erstellt, um die entsprechenden Massnahmen vor den zuständigen Stellen voranzutreiben). In der Anmeldung für die Aufnahme im "Registro Único de Victimas" wurde der Antragsteller indes ausdrücklich darauf hingewiesen, dass die Bearbeitung seines Antrages bis zu 60 Arbeitstage in Anspruch nehmen könne. Indem der Beschwerdeführer jedoch bereits in der Nacht vom 26. auf den 27. Dezember 2019, mithin weniger als eine Woche nach der Anmeldung für die Aufnahme ins Register - und ohne die weiteren, im Schweizer Asylverfahren geschilderten Vorfälle zur Anzeige zu bringen - Kolumbien in Richtung Europa verliess, kam er dem Ergreifen von Schutzmassnahmen behördlicherseits zuvor. Die diesbezüglich in der Beschwerdeschrift abgegebenen Erklärungen (etwa die Bemerkung, in Aussicht gestellte Schutzmassnahmen würden sehr oft zu spät installiert und seien nicht wirksam; vgl. Beschwerde S. 12) oder der allgemeine Hinweis auf gravierende Mängel im kolumbianischen Justizsystem (vgl. Beschwerde S. 13) ändern daran nichts. Alleine die Vermutung, es könnte sich beim Angreifer des letzten Vorfalles um einen Polizisten gehandelt haben, vermag den Beschwerdeführer ebenfalls nicht von der Pflicht, primär bei den heimatlichen Behörden um Schutz zu ersuchen, zu entbinden. Es ist auch nicht davon auszugehen, dass die in den beiden im vorinstanzlichen Verfahren eingereichten Medienberichten für die Zeit vom 19. bis zum 24. Dezember 2019 dokumentierte Ermordung mehrerer Aktivisten im Beschwerdeführer den unmittelbaren Entschluss zum Verlassen seines Landes geweckt haben könnte, liess er sich doch bereits am 18. Dezember 2019 einen (neuen) Reisepass ausstellen. Die vom Beschwerdeführer des Weiteren mit Hinweis auf entsprechende Literatur vorgetragenen Zweifel an der Effizienz der kolumbianischen Schutzstrukturen führen ebenfalls zu keinem anderen Ergebnis. Dabei ist insbesondere mit dem SEM darauf hinzuweisen, dass es keinem Staat gelingt, seinen Bürgerinnen und Bürgern immer und überall vollumfänglichen Schutz zu gewährleisten. Insofern kann nicht davon ausgegangen werden, nur perfekte heimatliche Schutzstrukturen würden die Anwendung des Subsidiaritätsprinzips ermöglichen.</w:t>
      </w:r>
    </w:p>
    <w:p>
      <w:r>
        <w:rPr>
          <w:b/>
        </w:rPr>
        <w:t>E. 7.3</w:t>
      </w:r>
    </w:p>
    <w:p>
      <w:r>
        <w:t>Insgesamt ist vorliegend davon auszugehen, dass der Beschwerdeführer in seinem Heimatstaat hinreichenden Schutz im Sinne der sogenannten Schutztheorie (vgl. oben E. 4.2) hätte erhalten können beziehungsweise dass ihm - falls notwendig - auch nach seiner Rückkehr solcher zugänglich sein wird. Ergänzend ist darauf hinzuweisen, dass der Beschwerdeführer sich alternativ auch in einer anderen Region Kolumbiens, etwa in der Hauptstadt Bogotá aufhalten könnte, falls er sich in seiner Heimatstadt B._______ trotz der Schutzmassnahmen unsicher fühlen sollte.</w:t>
      </w:r>
    </w:p>
    <w:p>
      <w:r>
        <w:rPr>
          <w:b/>
        </w:rPr>
        <w:t>E. 7.4</w:t>
      </w:r>
    </w:p>
    <w:p>
      <w:r>
        <w:t>Nach dem Gesagten hat das SEM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Das ist ihm jedoch - insbesondere auch mit dem allgemeinen Hinweis auf die Gefährdungslage von Menschenrechtsaktivisten (vgl. Beschwerde S. 15) - nicht gelungen.</w:t>
      </w:r>
    </w:p>
    <w:p>
      <w:r>
        <w:rPr>
          <w:b/>
        </w:rPr>
        <w:t>E. 9.2.4</w:t>
      </w:r>
    </w:p>
    <w:p>
      <w:r>
        <w:t>Der Vollzug der Wegweisung ist demnach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Weder die allgemeine Lage in Kolumbien noch individuelle Gründe wirtschaftlicher, sozialer oder gesundheitlicher Natur lassen auf eine konkrete Gefährdung der Beschwerdeführenden im Falle einer Rückkehr schliessen. Die Vorinstanz hat diesbezüglich zu Recht darauf hingewiesen, dass die ganze Familie des Beschwerdeführers (Mutter, zwei Kinder aus einer früheren Beziehung, Bruder sowie mehrere Onkel und Tanten) in Kolumbien lebt. Er hat bis Ende 2019 immer in seiner Heimat gelebt und in den letzten 16 Jahren vor seiner Ausreise in B._______ als (...) gearbeitet, womit er ein eher überdurchschnittliches Einkommen erzielt haben dürfte; dort ist er auch in (...) tätig gewesen. Es ist daher davon auszugehen, dass sein breites Netz an privaten, geschäftlichen und politischen Kontakten dem - gemäss eigenen Angaben gesunden - Beschwerdeführer den Wiedereinstieg in die heimatliche Gesellschaft erleichtern wird. Der Umstand, dass er und seine Lebensgefährtin sich angeblich mittlerweile getrennt haben (vgl. Beschwerde S. 14, Ziff. 5.5.3), vermag daran nichts zu ändern.</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allenfalls zusätzlich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Erhebung eines Kostenvorschusses (Art. 63 Abs. 4 VwVG) ist mit vorliegendem Direktentscheid gegenstandslos geworden.</w:t>
      </w:r>
    </w:p>
    <w:p>
      <w:r>
        <w:rPr>
          <w:b/>
        </w:rPr>
        <w:t>E. 11.2</w:t>
      </w:r>
    </w:p>
    <w:p>
      <w:r>
        <w:t>Bei diesem Ausgang des Verfahrens wären die Kosten dem Beschwerdeführer aufzuerlegen (Art. 63 Abs. 1 VwVG). Da die Beschwerde jedoch nicht als aussichtslos zu qualifizieren war und die Bedürftigkeit des Beschwerdeführers durch eine entsprechende Bestätigung belegt wird, ist das mit der Beschwerde gestellte Gesuch um Gewährung der unentgeltlichen Prozessführung gemäss Art. 65 Abs. 1 VwVG gutzuheissen. Folglich sind keine Verfahrenskosten aufzuerlegen. Gleichzeitig ist auch das Gesuch um Beiordnung von lic. iur. Isabelle Müller als amtliche Rechtsbeiständin im Sinne von Art. 102m Abs. 1 AsylG gutzuheissen.</w:t>
      </w:r>
    </w:p>
    <w:p>
      <w:r>
        <w:rPr>
          <w:b/>
        </w:rPr>
        <w:t>E. 11.3</w:t>
      </w:r>
    </w:p>
    <w:p>
      <w:r>
        <w:t>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w:t>
      </w:r>
    </w:p>
    <w:p>
      <w:r>
        <w:rPr>
          <w:b/>
        </w:rPr>
        <w:t>E. 11.4</w:t>
      </w:r>
    </w:p>
    <w:p>
      <w:r>
        <w:t>Die in der Beschwerde in Aussicht gestellte detaillierte Honorarnote wurde bis jetzt nicht nachgereicht. Es wird jedoch ein genereller Aufwand von 10,5 Stunden zu einem Stundenansatz von Fr. 180.- geltend gemacht (vgl. Beschwerde S. 16 oben). Der zeitliche Aufwand erscheint vorliegend angemessen, indessen ist ein Stundenansatz von Fr. 150.- (vgl. E. 11.3) zu berücksichtigen. Der Rechtsvertreterin ist zu Lasten der Gerichtskasse ein amtliches Honorar in der Höhe von (gerundet) Fr. 1'710.- (inkl. Auslagen und Mehrwertsteuerzusatz)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