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D-891/2013 vom 17. Januar 2014</w:t>
      </w:r>
    </w:p>
    <w:p>
      <w:r>
        <w:t>Bundesverwaltungsgericht, 2014-01-17, DE</w:t>
      </w:r>
    </w:p>
    <w:p>
      <w:r>
        <w:rPr>
          <w:b/>
        </w:rPr>
        <w:t xml:space="preserve">Quelle: </w:t>
      </w:r>
      <w:r>
        <w:t>https://mcp.opencaselaw.ch/entscheid/bvger_D-891_2013</w:t>
      </w:r>
    </w:p>
    <w:p>
      <w:r>
        <w:t>FR: TAF D-891/2013 du 17 janvier 2014</w:t>
      </w:r>
    </w:p>
    <w:p>
      <w:r>
        <w:t>IT: TAF D-891/2013 del 17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Art. 108 ff. des iranischen Strafgesetzes zieht der homosexu­elle Verkehr die Todesstrafe nach sich, wenn die Täter (aktiv oder passiv) mündig und geistig gesund sind sowie aus freiem Willen gehandelt ha­ben. Die ARK hat in ihrer Rechtsprechung, welcher sich das Bundes­verwaltungsgericht anschloss, keine Kollektivverfolgung von Homo­sexuellen im Iran anerkannt; in diesem Zusammenhang wurde dar­auf hingewiesen, gemäss Erkenntnissen der schweizerischen Asylbehör­den gehe die Praxis der iranischen Strafbehörden dahin, Strafverfolgun­gen wegen Homosexualität soweit als möglich zu verhindern, wobei die Parteien häufig zu einer gütlichen Beilegung des Streites gedrängt wür­den. In diesem Zusammenhang wiesen die Richter nicht selten auf die schwere Beweisführung (vier Zeugen) sowie auf die möglichen Konsequen­zen für die Zeugen (80 Peitschenhiebe) hin, falls sich die An­klage nicht erhärten sollte. Überdies seien in der Vergangenheit weder straf­rechtliche Verurteilungen noch Exekutionen bekannt, die ausschliess­lich auf dem Anklagepunkt der Homosexualität beruht hätten (vgl. BVGE D-7284/2006 vom 31. März 2009 E. 5.2 mit Quellenangaben).</w:t>
      </w:r>
    </w:p>
    <w:p>
      <w:r>
        <w:rPr>
          <w:b/>
        </w:rPr>
        <w:t>E. 4.2</w:t>
      </w:r>
    </w:p>
    <w:p>
      <w:r>
        <w:t>In Berücksichtigung neuster Berichte ist davon auszugehen, dass sich die Situation Homosexueller vor Ort eher verschlechtert hat. Es ist davon auszugehen, dass offen gelebte Homosexualität - insbe­sondere von Männern - im Iran ein erhebliches, in jüngster Zeit eher an­steigendes Gefährdungspotential für (vornehmlich) staatliche Verfolgung berge (vgl. Urteil des Verwaltungsgerichts Bayreuth vom 5. März 2012 / Az. B 3 K 11.30113). Es wird auch ausgeführt, dass sich dieses Potential gerade im Kontext mit sonstigen uner­wünschten "Freiheitsäußerungen" zu einer beachtlichen Wahrscheinlich­keit asylrelevanter Bedrohung verdichten könne; maßgebend seien die Umstände des Einzelfalles (Urteil des Verwaltungsgerichts Beyreuth, a.a.O. E. 47).</w:t>
      </w:r>
    </w:p>
    <w:p>
      <w:r>
        <w:rPr>
          <w:b/>
        </w:rPr>
        <w:t>E. 4.3</w:t>
      </w:r>
    </w:p>
    <w:p>
      <w:r>
        <w:t>Anhaltspunkte für eine sich akzentuierende Gefährdung Homosexuel­ler im Iran finden sich sodann in der Publikation Home Office, UK Border Agency, Iran, Country of Origin Information (COI) Report vom 16. Januar 2013, wel­che sich ihrerseits auf ein breites Quellenangebot stützt: So sollen An­fang September 2011 zum ersten Mal seit längerer Zeit drei Männer ge­stützt auf die Artikel 108 und 110 des iranischen Strafgesetzes und mithin explizit wegen ihrer Sexualität hingerichtet worden sein. Es sei indes im­mer wieder vorgekommen, dass Personen mit Affinität zu Homosexualität wegen angeblicher Vergewaltigungsdelikte verurteilt worden seien. Die Ver­gewaltigung sei im Urteil jeweils aufgenommen worden, um die "Akzep­tanz" der Hinrichtungen zu erhöhen und um allzu grosses internatio­nales Aufsehen zu verhindern. Ahmadinejad, welcher die Exis­tenz von Schwulen im Iran öffentlich verneinte, soll mit dieser Aussage eine aktive Verfolgung von Homosexuellen im Land bewirkt haben (vgl. S. 182 f.). Generell seien in Sodomie-Verfahren die Rechte der Angeschuldig­ten immer wieder massiv verletzt worden. Genaue Zahlen, wie viele Iraner wegen ihrer sexuellen Orientierung in Verfahren verwi­ckelt und exekutiert wurden, seien zwar kaum erhältlich. Es sei indes von mindestens 1000 beziehungsweise 400 bis 5000 Opfern seit der Revolu­tion von 1979 auszugehen. Die genannte Taktik der Verfolgungsorgane, Homosexuellen in Verfahren auch andere Delikte unterzuschieben, verun­mögliche eine genaue Statistik. Im Jahr 2011 seien bei einer Organisa­tion der Homosexuellen indes zahlreiche Berichte für Exekutio­nen gestützt auf Art. 108 des Strafgesetzbuches eingegangen. Exekutionen, welche im Zusammenhang mit der sexuellen Orientie­rung der Betroffenen stünden und bekannt würden, machten nur die Spitze eines Eisberges aus; auf jeden bekannt gewordenen Fall kämen zwölf weitere, nicht öffentlich bekannt gewordene Fälle (a.a.O. S. 180 f.). Laut einem Pressebericht aus dem Jahr 2012 sollen vier Männer aus der Stadt Choram wegen Sodomie verurteilt worden sein. Die Verurteilung ver­bunden mit der Todesstrafe sei vom High Court bestätigt worden (a.a.O. S. 183). Im Iran müssten Personen, welche von den Sicherheitskräften der Homose­xualität verdächtigt würden, immer wieder damit rechnen, in Parks und Gaststätten festgenommen zu werden. Zudem drohten Haus­durchsuchungen und Überwachung des Internet-Verhaltens der Betroffe­nen. Diese Aktionen der Sicherheitskräfte müssten als gezieltes Vorge­hen gegen sexuelle Minderheiten im Iran gewertet werden. Gewisse Behelli­gungen durch die Sicherheitskräfte seien aufgrund ihrer Intensität als Folter zu bezeichnen. Homosexuelle hätten keine Chancen, sich ge­gen Übergriffe zu wehren; eine funktionierende Schutzinfrastruktur be­stehe nicht. In den letzten Jahren sei es wiederholt zu (Mas­sen)verhaftungen von Personen verbunden mit Inhaftierungen und Miss­handlungen gekommen (a.a.O. S. 184 ff. mit Zitationen aus zahlreichen weiteren Quellen).</w:t>
      </w:r>
    </w:p>
    <w:p>
      <w:r>
        <w:rPr>
          <w:b/>
        </w:rPr>
        <w:t>E. 4.4</w:t>
      </w:r>
    </w:p>
    <w:p>
      <w:r>
        <w:t>In der jüngsten Publikation des Home Office vom 26. Septem­ber 2013 wird die schwierige Lage von Homosexuellen im Iran bestätigt. Gemäss den Artikeln 232/233 des Entwurfs des neuen Strafgesetzes drohe nach wie vor die Todesstrafe bei einvernehmlichen ho­mosexuellen Akten (vgl. S. 69 f. und 180). Im Mai 2012 seien vier Män­ner unter homosexuellen Anklagen hingerichtet worden (a.a.O. S. 182). Aus­sagen von Homosexuellen bestätigten die andauernde Repression we­gen der sexuellen Orientierung. Betroffene hätten auch von Misshandlun­gen durch Angehörige berichtet. Diese Übergriffe hätten sie den Behörden nicht melden können, da sie diesfalls mit einer Anklage hät­ten rechnen müssen (a.a.O. S. 187). Ein hoher iranischer Beamter habe Homosexualität als Krankheit bezeichnet, nachdem er von einem UN-Berichterstatter auf die systematische Verfolgung sexueller Minderhei­ten vor Ort angesprochen worden sei (a.a.O. S. 189). Einer weite­ren Quelle zu­folge hätten viele junge Schwule Behelligungen (auch) durch Angehörige erlitten (a.a.O. S. 190).</w:t>
      </w:r>
    </w:p>
    <w:p>
      <w:r>
        <w:rPr>
          <w:b/>
        </w:rPr>
        <w:t>E. 4.5</w:t>
      </w:r>
    </w:p>
    <w:p>
      <w:r>
        <w:t>Ob sich diese angespannte Situation nach dem Machtwechsel im Iran wieder verbessern wird, ist schon insofern fraglich, als die weit verbreitete Homophobie namentlich auch staatlicher Stellen bestehen bleiben dürfte. So befindet sich die Justiz fest in der Hand der Konservativen; gemäss An­gaben von Menschenrechtsorganisationen sind seit der Wahl von Präsi­dent Rohani im Juni 2013 erneut mindestens 125 Personen hingerichtet worden (vgl. NZZ am Sonn­tag vom 8. Dezember 2013 S. 2).</w:t>
      </w:r>
    </w:p>
    <w:p>
      <w:r>
        <w:rPr>
          <w:b/>
        </w:rPr>
        <w:t>E. 5</w:t>
      </w:r>
    </w:p>
    <w:p>
      <w:r>
        <w:t>Aufgrund dieser Ausführungen stellt sich im Folgenden zunächst die Frage, ob aufgrund der aktuellen Situation vor Ort von einer Verfolgungssituation aller Homosexuellen, einer sogenannten Kollektivverfolgung auszugehen ist.</w:t>
      </w:r>
    </w:p>
    <w:p>
      <w:r>
        <w:rPr>
          <w:b/>
        </w:rPr>
        <w:t>E. 5.1</w:t>
      </w:r>
    </w:p>
    <w:p>
      <w:r>
        <w:t>Die Anforderungen an die Feststellung einer Kollektivverfolgung sind gemäss Rechtsprechung des Bundesverwaltungsgerichts indes sehr hoch. Als erstes, unbestrittenes Erfordernis wird der Betroffene seine Zuge­hörigkeit zum entsprechenden Kollektiv nachweisen müssen. So­dann ist analog der Prüfung einer geltend gemachten Individualverfol­gung zu prüfen, ob die gegen das Kollektiv erfolgte Massnahme in ihrer Art und Weise gezielt auf dieses Kollektiv gerichtet ist, mithin über das hi­nausgeht, was andere Teile der Bevölkerung an Nachteilen und Übergrif­fen hinzunehmen haben. Die als gezielt gegen ein Kollektiv gerichtet beur­teilten Massnahmen müssen sodann eine gewisse Intensität aufwei­sen, um der Anforderung der ernsthaften Nachteile im Sinn von Artikel 3 Ab­satz 1 AsylG zu genügen. Analog der Prüfung der Intensität einer indivi­duell geltend gemachten Massnahme wird die genügende Intensität mit Bezug auf gegen das Kollektiv gerichtete Massnahmen zu bejahen sein, wenn es sich um Eingriffe handelt, die das Leben gefährden, die kör­perliche Integrität verletzen sowie - im Fall von Freiheitsbeschränkun­gen - von einer gewissen Dauer sind oder zumindest in ihrer Gesamtheit mit einer gewissen Häufigkeit vorkommen. Aus der Verfolgung einzelner, zum Kollektiv gehöriger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Erheblich ist eine solche Wahrscheinlichkeit vor Ver­folgung dann, wenn in der Vergangenheit ein beträchtlicher Anteil des Kollektivs tatsächlich ernsthafte Nachteile zu erleiden hatte. So wird zum Beispiel in der deutschen Rechtsprechung im vorliegenden Kontext von ei­ner genügenden Verfolgungsdichte ausgegangen, wenn ein Zehntel des Kollektivs von Verfolgung betroffen war (vgl. BVGE 2011/16 E. 5.1 f.).</w:t>
      </w:r>
    </w:p>
    <w:p>
      <w:r>
        <w:rPr>
          <w:b/>
        </w:rPr>
        <w:t>E. 5.2</w:t>
      </w:r>
    </w:p>
    <w:p>
      <w:r>
        <w:t>Dies steht im Ergebnis auch in Übereinstimmung mit der jüngeren Beurteilung des Europäischen Gerichtshofs (EuGH) vom 7. November 2013 (C-199/12, C-200/12, C-201/12). Darin wurde grundsätzlich festgehalten, homosexuelle Asyl­suchende könnten eine bestimmte soziale Gruppe bilden, die der Verfol­gung wegen ihrer sexuellen Ausrichtung ausgesetzt sei. So sei die sexuelle Orientierung ein bedeutendes Merkmal der Identität, weshalb von einem Asylsuchenden nicht erwar­tet werden könne, dass er seine Homosexualität geheim halte oder sich beim Ausleben dieser sexuellen Ausrichtung zurückhalte, um eine Verfol­gung zu vermeiden. Ein strafrechtliches Verbot der Homosexua­lität beziehungsweise eine Freiheitsstrafe für homosexuelle Handlungen stelle aber nur dann einen genügend schwerwiegenden Ein­griff in die Grundrechte des Betroffenen dar, wenn die Strafen in der Pra­xis auch verhängt würden. Entsprechend müssten die nationalen Ge­richte künftig herausfinden, wie oft eine Freiheitsstrafe tatsächlich ausge­sprochen werde.</w:t>
      </w:r>
    </w:p>
    <w:p>
      <w:r>
        <w:rPr>
          <w:b/>
        </w:rPr>
        <w:t>E. 5.3</w:t>
      </w:r>
    </w:p>
    <w:p>
      <w:r>
        <w:t>Festzuhalten ist, dass im Iran Homosexuellen nicht nur eine Frei­heitsstrafe, sondern auch die Todesstrafe drohen kann. So sind Personen wegen gelebter oder bloss vorgeworfener sexueller Lebensweise hingerichtet worden. Die asylrechtlich relevante Motivation, die Gezielt­heit und die Intensität solcher Verfolgung ist dabei nicht in Abrede zu stellen. Inwie­fern und wie oft die Todesstrafe oder Freiheitsstrafen einzig wegen Homo­sexualität verhängt werden, ist aber nicht einfach festzustellen. So werden in Ur­teilen gegen Homosexuelle oftmals (noch) andere Delikte aufgeführt, um die "Akzeptanz" des Entscheids zu erhöhen (vgl. vorstehend E. 4.3). Die strengen Anforderungen an eine Kollektivverfolgung von Homosexu­ellen in dem Sinne, dass jeder Schwule im Iran wegen seiner se­xuellen Ausrichtung mit erheblicher Wahrscheinlichkeit ernsthafte Nachteile zu gewärtigen hat, erscheinen jedoch nicht als erfüllt. Obwohl es in jüngerer Zeit zu einigen Verurteilungen wegen homosexueller Handlungen gekommen ist, hatte - selbst in Berücksichtigung der erwähn­ten Schwierigkeiten bei der Quantifizierung - nicht ein beträchtlicher Anteil des Kollektivs tatsächlich ernsthafte Nachteile zu erleiden. Von einer Kollektivverfolgung ist auch aus heutiger Sicht damit nicht auszugehen. Vielmehr ist in Anbetracht der geschilderten, grundsätzlich sehr repressiven Lage vor Ort die Homosexualität eines iranischen Beschwer­deführers als erhebliches Risiko für eine möglicherweise drohende Verfolgung zu wer­ten. Ob diese im Falle der Rückkehr des Betroffenen mit beachtlicher Wahr­scheinlichkeit tatsächlich eintreten wird, ist im Einzelfall sorgfältig zu prüfen.</w:t>
      </w:r>
    </w:p>
    <w:p>
      <w:r>
        <w:rPr>
          <w:b/>
        </w:rPr>
        <w:t>E. 6.1</w:t>
      </w:r>
    </w:p>
    <w:p>
      <w:r>
        <w:t>Die Homosexualität des Beschwerdeführers ist vom BFM nicht für un­glaubhaft erachtet worden; auch das Bundesverwaltungsgericht hat kei­nen Anlass, an dessen sexueller Ausrichtung zu zweifeln. Ein Gutachten zur sexuellen Orientierung des Beschwerdeführers ist mithin nicht erforder­lich. Ein solches würde ohnehin keine geeignete Methode zur Fest­stellung der sexuellen Orientierung einer asylsuchenden Person dar­stellen (vgl. Sabine Jansen/Thomas Spijkerboer, Fleeing Homophobia. Asylanträge mit Bezug zur sexuellen Orientierung und Geschlechtsidenti­tät in Europa, Amsterdam 2011 S. 60).</w:t>
      </w:r>
    </w:p>
    <w:p>
      <w:r>
        <w:rPr>
          <w:b/>
        </w:rPr>
        <w:t>E. 6.2</w:t>
      </w:r>
    </w:p>
    <w:p>
      <w:r>
        <w:t>Weiter stellt sich die Frage nach dem familiären Umfeld des Beschwerdeführers. Das BFM bezweifelt seine entsprechenden Aussagen, dass von der Familie tatsächlich eine ernsthafte Bedrohung ausgehen könnte, falls sie von der Homosexualität des Beschwerdeführers erfahren sollte. Es führt dies implizit darauf zurück, dass der Beschwerdeführer einen verhältnismässig leichtfertigen Lebensstil gelebt haben will ohne geeignete Massnahmen zur Heimlichkeit getroffen zu haben. Dieser Vermutung kann sich das Bundesverwaltungsgericht nicht vollumfänglich anschliessen. So hat sich der Beschwerdeführer offenbar darauf beschränkt, lediglich nachts und an Anlässen in privaten Villen der E._______ Szene teilzunehmen (A 11/15 Antworten 72 ff.). Dass er es wagte, sich im geschilderten Outfit in der iranischen Gesellschaft zu bewe­gen, ist zwar vor seinem geltend gemachten verwandtschaftlichen Hin­tergrund mit dem gemäss seinen Aussagen homophoben Vater und den streng religiösen Onkeln tatsächlich in einem gewissen Ausmass erstaunlich; ande­rerseits gab er an, er sei mit seinem Vater, welcher gerne Alkohol trinke, gut befreundet (A 11/15 Antwort 59), und konnte so in Anbetracht der familiären Bande offenbar auf ein gewisses Verständnis für eine "westli­che" Lebensweise verbunden mit Hilfe bei allfälligen Festnahmen we­gen Alkohols rechnen. Dies umso mehr, als keine seiner Festnahmen mit Homosexualität in Zusammenhang gestanden haben soll (A 11/15 Ant­wort 38). Ein gewisses Risikoverhalten kann sodann durchaus mit der Persönlichkeitsstruktur ei­nes - auch homosexuellen - Menschen in Verbindung gebracht und er­klärt werden. In der Beschwerde wird ferner zu Recht darauf hingewie­sen, namentlich in Grossstädten des Irans hätten sich in wohlhabenderen und mittelständischen Kreisen Szenen gebildet, die sich in jeder Hinsicht von den Zielen der islamischen Revolution verabschiedet hätten. Die Be­hauptung des BFM, es entstehe der Eindruck einer Unvereinbarkeit zwi­schen der Beschreibung eines verhältnismässig leichtfertigen Lebensstils und der Charakterisierung der Familienangehörigen als potenziell gefährli­che Verfolger, ist nach dem Gesagten durch gewisse Aussagen des Beschwerdeführers zwar nachvollziehbar. Das sich Outen lediglich in der privaten E._______ Party-Szene verbunden mit einer ansonsten sexu­ell nicht auffälligen Lebensweise kann aber durchaus auch einer gewissen jugendli­chen Unbekümmertheit beziehungsweise Notlage zugeordnet werden (vgl. dazu auch NZZ vom 20. Dezember 2013 S. 20). Die Einschät­zung, die Aufenthalte in einer solchen "gemischten" Szene dienten auch als Ablenkung für die tatsächlich bestehende Homosexualität, wäre somit nicht als abwegig zu beurteilen. So hat der Beschwerdeführer differenziert dargelegt, in welchen Bereichen - etwa der Religion und beim Alkoholkon­sum - er bei seinem einflussreichen Vater auf Verständnis ge­stossen sei und in welchem Bereich - nämlich der Homosexualität - ein Ta­buthema bestanden habe (A 11/15 Antworten 59 und 67). Dass er im Sinne der Beschwerdevorbringen nach aussen hin im Rahmen der Staats­ideologie und den Erwartungen seiner Familie gerade noch akzeptabel "funktioniert" hat, ist mithin nicht von der Hand zu weisen.</w:t>
      </w:r>
    </w:p>
    <w:p>
      <w:r>
        <w:rPr>
          <w:b/>
        </w:rPr>
        <w:t>E. 6.3</w:t>
      </w:r>
    </w:p>
    <w:p>
      <w:r>
        <w:t>Einig zu gehen ist mit dem BFM jedoch darin, dass die geschilderte Bedrohungslage durch die betrogene Ehefrau seines Partners in der vorgebrachten Form nicht glaubhaft erscheint. Das BFM lastet dem Beschwerdeführer diesbezüglich an, seine Aufenthalte respektive Reiseroute nach dem erhaltenen Anruf der Gattin seines Partners im Iran nicht übereinstimmend geschildert zu haben. Tatsächlich ergeben sich in diesem Punkt Ungereimtheiten. So führt der Beschwerdeführer anlässlich der Summarbefragung aus, er sei von (...) mit dem Bus nach F._______ gefahren, wo er zehn Tage geblieben sei, und von dort sei er ausgereist. Einen Aufenthalt bei Freunden oder im Norden des Landes erwähnt er nicht (vgl. A 1/9 S. 5 f.). Zu bemerken ist immerhin, dass er dabei nur auf die Frage nach den Umständen der Ausreise antwortete und aus den vorgängigen Antworten sehr wohl deutlich wird, dass zwischen dem fluchtauslösenden Ereignis (sechs oder sieben Monate vor der Befragung) und der Ausreise (drei Monate vor der Befragung) einige Monate vergangen sind (vgl. A1/9 S. 5 mitte) und der Beschwerdeführer seine angestammte Adresse bereits anfangs Sommer (also ca. sechs Monate vor der Befragung) verlassen hatte (vgl. A1/9 S. 1). Die Nachfrage nach den Aufenthaltsorten zwischen dem fluchtauslösenden Ereignis und der Ausreise hätte sich damit offensichtlich aufgedrängt. In der Anhörung führt er dazu aus, er sei ca. eine Woche im Norden gewesen, um nicht in (...) zu bleiben. Im Übrigen habe er sich einen oder eineinhalb Monate lang bei verschiedenen Freunden in (...) aufgehalten (A 11/15 Ant­worten 13, 14, 36 und 58). In der Beschwerde wird dazu ausgeführt, es handle sich nicht um einen Widerspruch, da sich der Beschwerdeführer vor der Ausreise über F._______ bei Freunden (...) aufgehalten habe (Beschwerdeeingabe S. 6). Tatsächlich befindet sich der Stadtteil (...) am nördlichsten Rand der Stadt. Ganz aufzulösen vermag jedoch auch dieser Einwand die Ungereimtheiten nicht, zumal der Beschwerdeführer in der Anhörung diesbezüglich ausdrücklich aussagte, er sei in den Norden gegangen, "um nicht in (...) zu bleiben" und später ausführte "Einen Monat blieb ich bei den Freunden zuhause. Eine Woche oder zehn Tage ging (ich) in den Norden, und zehn Tage blieb ich (in) F._______ an der Grenze". Immerhin ist aber festzuhalten, dass diese Ungereimtheiten in Berücksichtigung des vom Be­schwerdeführer zu Recht erwähnten Summarcharakters der Erstbefra­gung nicht überbewertet werden sollen. Hinzu kommt jedoch, dass sich der Beschwerdeführer auch bezüglich der Anzahl der Telefonanrufe widersprach. Während in der Anhörung von nur einem Kontakt mit der Ehefrau seines Freundes die Rede ist (A 1/9 S. 4; A 11/15 Antwort 46), geht aus dem Protokoll der Summarbefragung hervor, diese habe "einige Male" angerufen. Die Ehefrau sei "jeweils" sehr freundlich gewesen, bis sie "einmal" die Geduld verloren und ihn beschimpft habe (vgl. A 1/9 S. 4). Nachgefragt wurde auch hierzu nichts. Dass es sich dabei, wie geltend gemacht wird, um Missverständnisse in der Übersetzung handelt, kann zwar nicht ganz ausgeschlossen werden, zumal der Beschwerdeführer bereits in der Anhörung auf entsprechende Probleme hinwies. Andererseits erscheint ein Missverständnis aufgrund der verschiedenen Worte, die auf einen mehrmaligen Kontakt hinweisen, und aufgrund der erfolgten Rückübersetzung eher unwahrscheinlich (A 1/9 S. 6 f.; A 11/15 Antworten 2 und S. 13). Ausserdem wirken die Vorbringen im Zusammenhang mit dem Telefonat eher stereotyp und - so zu den Beweismitteln der Gattin - vage und spekulativ (A 11/15 Antworten 44 ff.). Das Beschwerdeargu­ment, wonach er den Gehalt der Äusserungen der Ehefrau in den Kern­punkten übereinstimmend geschildert habe, überzeugt entsprechend nicht. Es erstaunt denn auch, dass er über das Schicksal seines Freundes keinerlei Aussagen zu machen vermag. Ausserdem hatte er Mühe, die Zeitpunkte des angeblichen Telefo­nats und der Ausreise genau anzugeben, obwohl er dazu bereits kurz nach seiner Einreise in die Schweiz befragt wurde (A 1/9 S. 1 und 5 Mitte). Wäre er tatsächlich in der geltend gemachten Form bedroht wor­den, hätte eine genauere zeitliche Einordnung dieser Ereignisse erwartet werden können. Hinzu kommen die vom BFM erwähnten Abweichungen bei der Angabe der Zeitspanne zwischen Telefonat und Ausreise, die er we­der bei der Anhörung noch in der Beschwerde befriedigend zu erklären vermochte (vier oder fünf Monate beziehungsweise lediglich zwei Mo­nate; vgl. A 1 S. 1 und 5; A 11/15 Antworten 36, 58 und 62). Die Zweifel an der ernsthaften Bedrohungslage von Seiten einer betrogenen Ehefrau werden auch dadurch bestätigt, dass der Beschwerdeführer bis zur Ausreise offenbar nicht bei sich zu Hause offiziell und unter dem Vorwurf homosexuelle Handlungen begangen zu haben gesucht worden ist, andernfalls er von seinen Eltern entsprechend informiert worden wäre. Wäre die Ehefrau des Freundes in der vorgebrachten Form gegen den Beschwerdeführer vorgegangen beziehungsweise wäre es ihr möglich gewesen, seine Identität in Erfahrung zu bringen und Beweismittel vorzulegen, hätte dies zweifellos zu behördlichen Nachforschungen an seiner Wohnadresse geführt. Insgesamt vermochte der Beschwerdeführer damit eine ernsthafte Bedrohung von Seiten der Ehefrau seines Beziehungspartners nicht glaubhaft darzutun.</w:t>
      </w:r>
    </w:p>
    <w:p>
      <w:r>
        <w:rPr>
          <w:b/>
        </w:rPr>
        <w:t>E. 6.4</w:t>
      </w:r>
    </w:p>
    <w:p>
      <w:r>
        <w:t>Nach dem Gesagten ist glaubhaft, dass der Beschwerdeführer in der E._______ Party-Szene verkehrte und dort Kontakte pflegte. Seine Homose­xualität an sich ist auch vom BFM nicht in Frage gestellt worden und erschien im Rahmen der Anhörung als offensichtlich (vgl. A 11/15 Ant­wort 72). Die nicht im Zusammenhang mit der Homosexualität stehen­den Kurzfestnahmen sind indes nicht als genügend intensiv im Sinne von Art. 3 AsylG einzustufen, und die in der Beschwerde geltend ge­machte mas­sive Misshandlung durch einen Onkel im Alter von (...) Jahren kann nicht als kausal für die Ausreise angesehen werden. Ferner war der Beschwerde­führer im Zeitpunkt der Ausreise offensichtlich nicht von konkre­ten Verfolgungshandlungen wegen seiner Religion oder des bevorste­henden Militärdienstes betroffen. Auch wegen seines Bruders wurde den Akten zufolge nicht gegen ihn vorgegangen. In Anbetracht der ungereimten Aussagen unglaubhaft ist namentlich auch die angebliche Be­drohungslage durch die Ehefrau eines Beziehungspartners. So ist aufgrund der vorgängigen Ausführungen nicht glaubhaft, dass der Beschwerdeführer in der vorgebrachten Weise von der Ehefrau seines Partners identifiziert und bedroht worden ist. Vor die­sem Hintergrund ist nicht davon auszugehen, dass der Beschwerdeführer im Zeitpunkt der Ausreise mit beachtlicher Wahrscheinlichkeit damit rech­nen musste, seine Homosexualität werde durch den Staat oder seine Ange­hörigen entdeckt und in asylrelevanter Weise geahndet oder es ergäben sich kon­krete Verfolgungshandlungen aus den ferner erwähnten Gründen.</w:t>
      </w:r>
    </w:p>
    <w:p>
      <w:r>
        <w:rPr>
          <w:b/>
        </w:rPr>
        <w:t>E. 7</w:t>
      </w:r>
    </w:p>
    <w:p>
      <w:r>
        <w:t>Zusammenfassend ist festzuhalten, dass es dem Beschwerdefüh­rer nicht gelungen ist, eine im Zeitpunkt seiner Ausreise aus dem Iran bestehende oder unmittelbar drohende asylrelevante Verfolgungsge­fahr nachzuwei­sen oder glaubhaft zu machen. Somit hat die Vorinstanz sein Asylgesuch zu Recht und mit zutreffender Begründung abgewie­sen.</w:t>
      </w:r>
    </w:p>
    <w:p>
      <w:r>
        <w:rPr>
          <w:b/>
        </w:rPr>
        <w:t>E. 8.1</w:t>
      </w:r>
    </w:p>
    <w:p>
      <w:r>
        <w:t>Im Folgenden ist zu prüfen, ob der Beschwerdeführer durch sein Verhal­ten nach der Ausreise eine zukünftige Verfolgung durch die irani­schen Behörden oder Angehörige zu befürchten hat und aus diesem Grund die Flücht­lingseigenschaft erfüllt.</w:t>
      </w:r>
    </w:p>
    <w:p>
      <w:r>
        <w:rPr>
          <w:b/>
        </w:rPr>
        <w:t>E. 8.2</w:t>
      </w:r>
    </w:p>
    <w:p>
      <w:r>
        <w:t>Betreffend Relevanz von subjektiven Nachfluchtgründen für eine allfäl­lige Verfolgung kann auf BVGE 2009/28 E. 7. verwiesen werden. Die Men­schenrechtssituation im Iran ist seit längerer Zeit schlecht und es gibt keine Hinweise darauf, dass sich dies in nächster Zeit ändern wird (a.a.O. E. 7.3.1 S. 354 ff.). Diese Einschätzung wird durch ein Urteil des Europäi­schen Gerichtshofs für Menschenrechte (EGMR) be­stätigt (Urteil S.F. und andere gegen Schweden vom 15. Mai 2012; Nr. 52077/10).</w:t>
      </w:r>
    </w:p>
    <w:p>
      <w:r>
        <w:rPr>
          <w:b/>
        </w:rPr>
        <w:t>E. 8.3</w:t>
      </w:r>
    </w:p>
    <w:p>
      <w:r>
        <w:t>Die geltend gemachten exilpolitischen Tätigkeiten des Beschwerdefüh­rers heben sich kaum von den üblichen Aktivitäten ande­rer Iraner ab. Im aktuellen Zeitpunkt und mithin mehr als fünf Jahre nach Ein­reichung des Asylgesuchs steht aber fest, dass er in der Schweiz offen schwul lebt, eine mehrjährige Beziehung einging und sich in der (...) in G._______ offenbar besonders hervorgetan hat. Dabei soll er auch (...) und mithin einem schwulen Anlass in Erschei­nung getreten sein. Unbe­sehen der Tatsache, ob seine Onkel tatsächlich bei der Etalaat arbei­ten, müsste er aufgrund der langjährigen Landesabwesenheit mit ei­ner eingehenden Kontrolle bei der Wiedereinreise in den Iran rechnen. Da­bei würde auch seine (...) Tätowierung entdeckt wer­den. Dass seinem Vater und den Onkeln die Homosexualität des Soh­nes respektive Neffen auch im jetzigen Zeitpunkt noch nicht bewusst ist oder sie diese allenfalls im Sinne allfälliger blosser Mutmassungen wie mög­licherweise vor der Ausreise nach wie vor nicht zur Kenntnis nehmen und ihm sogar helfen würden, ist insofern kaum realistisch, als er bei der Wiedereinreise in einem völlig anderen Kontext kontrolliert würde als vor oder nach dem Besuch einer privaten Party in der E._______ Szene. Insge­samt weist er - auch ohne missionarischem Eifer im christlichen Glau­ben (zur Konversion im Iran vgl. BVGE 2009/28 und E-6679/09 vom 11. Dezember 2012 sowie den bereits zitierten COI-Report vom 16. Ja­nuar 2013 S. 141 ff.) - nunmehr ein persönliches Profil auf, welches den Arg­wohn der iranischen Sicherheitskräfte im Sinne einer Identifizierung und Fichierung als zwar nicht hochkarätigen, aber langjährigen und insbe­sondere auch schwulen Regimegegner erweckt haben dürfte. Er ver­mittelt demnach insge­samt das Bild einer kommunikationsprofilierten Per­son mit klar defi­nier­ten Vorstellun­gen einer Lebensweise, wie sie im Iran im öffentlichen Rahmen undenkbar ist. Aus dem Gesagten ergibt sich vor dem Hinter­grund der greifbaren In­formationen zur Menschenrechts­lage und namentlich der Situation Schwuler im Iran, dass der Be­schwerde­führer be­rech­tigterweise befürchten muss, bei einer Rück­kehr ins Heimatland straf­rechtlich belangt, dabei in Haft genommen und einer flüchtlingsrecht­lich relevanten Ge­fähr­dung des Leibes, des Lebens und der Freiheit ausgesetzt zu wer­den. Da­mit erfüllt er sämtliche ku­mu­lativ erfor­derlichen Krite­rien der Flüchtlingseigenschaft im Sinne der Defini­tion von Art. 3 AsylG (vgl. dazu das Urteil D-4300/2006 vom 22. Dezember 2008 E. 6.2).</w:t>
      </w:r>
    </w:p>
    <w:p>
      <w:r>
        <w:rPr>
          <w:b/>
        </w:rPr>
        <w:t>E. 9</w:t>
      </w:r>
    </w:p>
    <w:p>
      <w:r>
        <w:t>Zusammenfassend ist unter diesen Umständen festzustellen, dass es dem Beschwerdeführer gelungen ist, das Bestehen subjekti­ver Nachflucht­gründe im Sinne von Art. 54 AsylG überwiegend glaub­haft zu ma­chen, und er damit die Voraussetzungen für die Zuerken­nung der Flücht­lingseigenschaft erfüllt. Im Weiteren bestehen gemäss Ak­tenlage keine Ausschlussgründe im Sinne von Art. 1 F des Abkom­mens vom 28. Juli 1951 über die Rechtsstellung der Flüchtlinge (FK, SR 0.142.30).</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11.1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11.3</w:t>
      </w:r>
    </w:p>
    <w:p>
      <w:r>
        <w:t>Aus den vorstehenden Erwägungen ergibt sich, dass der Be­schwerde­führer begründete Furcht vor zukünftiger Verfolgung im Sinne von Art. 3 AsylG glaubhaft machen konnte. Der Vollzug der Wegwei­sung in den Iran erweist sich daher wegen drohender Verlet­zung des flüchtlings­rechtlichen Gebots des Non-Refoulements (Art. 5 AsylG) so­wie auch mit Blick auf Art. 3 EMRK als unzulässig, da davon ausge­gangen wer­den muss, dass er im Falle sei­ner Rückkehr in den Iran mit beachtli­cher Wahrscheinlichkeit men­schenrechtswidriger Behand­lung ausgesetzt wäre.</w:t>
      </w:r>
    </w:p>
    <w:p>
      <w:r>
        <w:rPr>
          <w:b/>
        </w:rPr>
        <w:t>E. 12</w:t>
      </w:r>
    </w:p>
    <w:p>
      <w:r>
        <w:t>Die Beschwerde ist demnach insoweit gutzuheissen, als die Feststellung der Flüchtlingseigenschaft beziehungsweise die Gewäh­rung der vorläufi­gen Aufnahme wegen Unzulässigkeit des Wegwei­sungsvollzugs bean­tragt wurde. Im Übrigen ist sie abzuweisen. Die Zif­fern 1, 4 und 5 des Dispo­sitivs der Verfügung des BFM vom 11. Januar 2013 sind aufzuhe­ben und die Vorinstanz ist anzuweisen, den Be­schwerdeführer gestützt auf Art. 44 Abs. 2 AsylG als Flüchtling vorläu­fig aufzunehmen.</w:t>
      </w:r>
    </w:p>
    <w:p>
      <w:r>
        <w:rPr>
          <w:b/>
        </w:rPr>
        <w:t>E. 13</w:t>
      </w:r>
    </w:p>
    <w:p>
      <w:r>
        <w:t>Bei diesem Ausgang des Verfahrens wäre dem Beschwerdeführer auf­grund seines bloss teilweisen Obsiegens ein reduzierter Anteil der Ver­fah­renskosten aufzuerlegen (Art. 63 Abs. 1 VwVG). Da aber sein Ge­such um Gewährung der unentgeltlichen Rechtspflege ge­mäss Art. 65 Abs. 1 VwVG mit Zwischenverfügung vom 28. Februar 2013 gutge­heissen wurde, ist auf die Auferle­gung von Verfahrenskosten zu ver­zichten. Dem teilweise obsiegenden und vertretenen Beschwerdeführer ist so­dann in Anwendung von Art. 64 VwVG und Art. 7 Abs. 1 des Regle­ments vom 21. Februar 2008 über die Kosten und Entschädigungen vor dem Bun­desverwal­tungsgericht (VGKE, SR 173.320.2) eine praxis­gemäss redu­zierte Entschädigung für die ihm notwen­digerweise er­wachsenen Partei­kosten zuzusprechen. Nachdem keine Kostennote eingereicht wurde und sich der not­wendige Vertretungs­aufwand auf­grund der Akten­lage hinreichend zu­verlässig abschätzen lässt, ist die­se anteilsmässig auf Fr. 1'800.- (in­klusive Auslagen und allfällige Mehr­wertsteuer) festzu­set­zen und von der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