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D-888/2014 vom 10. Oktober 2014</w:t>
      </w:r>
    </w:p>
    <w:p>
      <w:r>
        <w:t>Bundesverwaltungsgericht, 2014-10-10, DE</w:t>
      </w:r>
    </w:p>
    <w:p>
      <w:r>
        <w:rPr>
          <w:b/>
        </w:rPr>
        <w:t xml:space="preserve">Quelle: </w:t>
      </w:r>
      <w:r>
        <w:t>https://mcp.opencaselaw.ch/entscheid/bvger_D-888_2014</w:t>
      </w:r>
    </w:p>
    <w:p>
      <w:r>
        <w:t>FR: TAF D-888/2014 du 10 octobre 2014</w:t>
      </w:r>
    </w:p>
    <w:p>
      <w:r>
        <w:t>IT: TAF D-888/2014 del 10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der Vorinstanz ist festzuhalten, dass die Vorbringen der Beschwerdeführenden den Anforderungen an die Flüchtlingseigenschaft gemäss Art. 3 AsylG nicht standhalten. Zur Vermeidung von Wiederholungen kann daher vorab auf die nicht zu beanstandenden Erwägungen des BFM in der angefochtenen Verfügung sowie in seiner Vernehmlassung vom 20. März 2014 verwiesen werden (vgl. auch Bst. D und G hiervor).</w:t>
      </w:r>
    </w:p>
    <w:p>
      <w:r>
        <w:rPr>
          <w:b/>
        </w:rPr>
        <w:t>E. 4.2</w:t>
      </w:r>
    </w:p>
    <w:p>
      <w:r>
        <w:t>Die Darlegungen der Beschwerdeführenden zu den Ereignissen im (Jahr) (Tötung von drei Personen der Familie C. durch den Ehemann/Vater der Beschwerdeführenden) werden nicht in Abrede gestellt. Hingegen wird aus dem geschilderten Sachvortrag nicht ersichtlich, inwiefern die Beschwerdeführenden eine im asylrechtlichen Kontext bedeutsame Verfolgung im Heimatland zu befürchten haben (Blutfehde nach dem albanischen Gewohnheitsrecht Kanun). In diesem Zusammenhang ist zunächst festzuhalten, dass eine Verfolgung im Sinne allfälliger Racheakte seitens der verfeindeten Familie im Heimatland nicht unter Art. 3 AsylG fällt, da es einer privaten Fehde am Erfordernis der flüchtlingsrechtlich relevanten Verfolgungsmotivation mangelt (vgl. Entscheidungen und Mitteilungen der Schweizerischen Asylrekurskommission [EMARK] 2006 Nr. 25 E. 7 S. 276 f. m.w.H.). Sodann hat der Bundesrat mit Beschluss vom 5. Oktober 1993 Albanien als verfolgungssicheren Staat im Sinne von Art. 6a Abs. 2 Bst. a AsylG bezeichnet und ist auf diese Einschätzung bisher nicht zurückgekommen (Art. 6a Abs. 3 AsylG). Dies stellt eine gesetzliche Regelvermutung dar, dass eine asylrelevante staatliche Verfolgung nicht besteht und Schutz vor nichtstaatlicher Verfolgung gewährleistet ist. Diese Vermutung kann im Einzelfall aufgrund konkreter und substanziierter Hinweise umgestossen werden. Die protokollierten Aussagen der Beschwerdeführenden sowie die in der Beschwerdeschrift und der Replik vom 4. April 2014 (Poststempel) aufgeführten Gründe vermögen weder den Einwand der fehlenden Asylrelevanz zu entkräften noch die erwähnte Regelvermutung umzustossen. Der Vollständigkeit halber ist in casu noch anzufügen, dass auf Beschwerdestufe bloss eine andere Sichtweise als diejenige des BFM vertreten wird. Der Übersetzung des eingereichten Beweismittels (Republik Albanien, Staatsanwaltschaft, Gericht erster Instanz, (Ort 2); Beschluss vom 28. Oktober 2009; Beilage 4) ist unter anderem zu entnehmen, dass die von der Beschwerdeführerin im Zusammenhang mit den Drohungen seitens der verfeindeten Familie eingereichte Anzeige entgegengenommen wurde, dieser mangels konkreter Hinweise auf ihre Urheber nicht stattgegeben respektive die Einleitung eines Strafverfahrens abgelehnt und der Beschwerdeführerin die Möglichkeit eines Weiterzugs an eine nächsthöhere Instanz eingeräumt wurde. Ebenfalls nicht ausser Acht gelassen werden darf im Gesamtkontext der Umstand, dass sich die Beschwerdeführenden im (Jahr) während (Aufenthaltsdauer) bei ihrem Bruder/Onkel in G._______ besuchshalber aufgehalten haben und, ohne die dortigen Behörden vor der im Heimatland befürchteten Blutrache um Schutz nachzusuchen, nach Albanien zurückgekehrt sind. Aufschlussreich erweist sich schliesslich auch die Aussage der Beschwerdeführerin, wonach es keinen speziellen Auslöser für die Ausreise im Jahre 2012 gegeben habe.</w:t>
      </w:r>
    </w:p>
    <w:p>
      <w:r>
        <w:rPr>
          <w:b/>
        </w:rPr>
        <w:t>E. 4.3</w:t>
      </w:r>
    </w:p>
    <w:p>
      <w:r>
        <w:t>Zusammenfassend ist somit festzustellen, dass die Vorbringen der Beschwerdeführenden als nicht asylbeachtlich im Sinne von Art. 3 AsylG zu werten sind. Sie können daher nicht als Flüchtlinge aner­kannt werden. Die Vorinstanz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Im Zusammenhang mit der von den Beschwerdeführenden geltend gemachten Blutrache respektive der Befürchtung, im Falle einer Ausschaffung nach Albanien Opfer von Racheakten seitens der verfeindeten Familie zu werden, ergeben sich weder aus ihren Aussagen noch aus den Akten Anhaltspunkte dafür, dass sie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 (vgl. auch Urteil des Bundesverwaltungsgerichts E-7121/2013 vom 27. Januar 2014 E. 7.4).</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Wie selbst in der Rechtsmitteleingabe vermerkt, steht die allgemeine Situation in Albanien einem Wegweisungsvollzug nicht entgegen. Auch sind keine individuellen Gründe ersichtlich, die unter dem Zumutbarkeitsaspekt gegen eine allfällige Rückkehr der Beschwerdeführenden ins Heimatland sprechen würden. Die über eine solide Schulbildung ([...]) verfügende Beschwerdeführerin lebte vor der Ausreise zusammen mit ihren Kindern mehrere Jahre in (Ort 2), wo auch ihre Kinder zur Schule gingen. Gemäss ihren Angaben lebten sie nach der Verhaftung des Ehemanns/Vaters von Erspartem. Ihr Sohn führte in diesem Zusammenhang aus, sie hätten gut gelebt und keine Geldschwierigkeiten gehabt. Ferner geht aus den Akten hervor, dass die - soweit aktenkundig - gesunden Beschwerdeführenden in (Ort 2) und in der näheren Umgebung auf ein relativ umfangreiches verwandtschaftliches Beziehungsnetz zurückgreifen können, was die Reintegration erleichtert. Ebenfalls ist nicht auszuschliessen, dass die im Ausland lebenden Verwandten im Falle von Anfangsschwierigkeiten den Beschwerdeführenden unterstützend zur Seite stehen werden. Schliesslich stellt sich die Frage einer zumutbaren innerstaatlichen Aufenthaltsalternative nicht, da den Akten keine konkreten und schlüssigen Anhaltspunkte zu entnehmen sind, die auf allfällig aus der geltend gemachten Blutrache resultierende Benachteiligungen hindeuten würden. In Würdigung all dieser begünstigenden Faktoren erweist sich der Vollzug der Wegweisung demnach als zumutbar.</w:t>
      </w:r>
    </w:p>
    <w:p>
      <w:r>
        <w:rPr>
          <w:b/>
        </w:rPr>
        <w:t>E. 6.4</w:t>
      </w:r>
    </w:p>
    <w:p>
      <w:r>
        <w:t>Die Beschwerdeführenden sind im Besitz gültiger Reisepässe,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Mit Instruktionsverfügung vom 28. Februar 2014 wurde das Gesuch um Gewährung der unentgeltlichen Rechtspflege im Sinne von Art. 65 Abs. 1 VwVG - unter Vorbehalt des Nachreichens der Fürsorgebestätigung sowie vorbehältlich einer nachträglichen Änderung in den finanziellen Verhältnissen der Beschwerdeführenden - gutgeheissen (vgl. Bst. F hiervor). Die Fürsorgebestätigung wurde nicht nachgereicht. Mithin ist die Bedürftigkeit der Beschwerdeführenden nicht belegt, weshalb in wiedererwägungsweiser Abänderung der Dispositivziffer 2 der erwähnten Instruktionsverfügung das Gesuch um Gewährung der unentgeltlichen Rechtspflege (Art. 65 Abs. 1 VwVG) abzuweisen ist und die Verfahrenskosten von insgesamt Fr. 600.- den Beschwerdeführenden aufzuerlegen sind (Art. 63 Abs. 1 VwVG sowie Art. 1-3 VGKE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