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D-8876/2010 vom 17. Februar 2011</w:t>
      </w:r>
    </w:p>
    <w:p>
      <w:r>
        <w:t>Bundesverwaltungsgericht, 2011-02-17, DE</w:t>
      </w:r>
    </w:p>
    <w:p>
      <w:r>
        <w:rPr>
          <w:b/>
        </w:rPr>
        <w:t xml:space="preserve">Quelle: </w:t>
      </w:r>
      <w:r>
        <w:t>https://mcp.opencaselaw.ch/entscheid/bvger_D-8876_2010</w:t>
      </w:r>
    </w:p>
    <w:p>
      <w:r>
        <w:t>FR: TAF D-8876/2010 du 17 février 2011</w:t>
      </w:r>
    </w:p>
    <w:p>
      <w:r>
        <w:t>IT: TAF D-8876/2010 del 17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Nachdem aufgrund einer nicht lesbaren Kopie des Rückscheins nicht ermittelt werden kann, wann die angefochtene Verfügung des BFM dem Beschwerdeführer eröffnet wurde, kann auch nicht festgestellt werden, ob der Beschwerdeführer die Beschwerdefrist eingehalten hat. Zu seinen Gunsten ist deshalb davon auszugehen, die Beschwerdeerhebung sei rechtzeitig erfolgt. Die Beschwerde gilt somit als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E. 5.2 - E.5.3). Eine Befragung beziehungsweise eine schriftliche Sachverhaltsabklärung kann sich auch erübrigen, wenn der Sachverhalt bereits aufgrund des eingereichten Asylgesuchs als entscheidreif erstellt scheint. Bei Anhörungsverzicht ist jedoch das rechtliche Gehör zu gewähren (vgl. BVGE 2007/30 E. 5.7), was vorliegend erfolgt ist (vgl. Erwägung D.a vorstehend). Ausserdem hat das BFM den Verzicht auf eine Befragung zu begründen (vgl. BVGE 2007/30 E.5.6 - 5.7), was vom BFM ebenfalls vorgenommen wurde (vgl. angefochtene Verfügung S. 3 Ziff. 1).</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 - g. S. 131 ff.).</w:t>
      </w:r>
    </w:p>
    <w:p>
      <w:r>
        <w:rPr>
          <w:b/>
        </w:rPr>
        <w:t>E. 5</w:t>
      </w:r>
    </w:p>
    <w:p>
      <w:r>
        <w:t>Die Vorbringen in der Rechtsmitteleingabe vom 16. Dezember 2010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zutreffenden Erwägungen des BFM nicht umzustossen. Für das Bundesverwaltungsgericht besteht somit nach Überprüfung der Akten keine Veranlassung, die Erwägungen des BFM zu beanstanden. Um Wiederholungen zu vermeiden, kann daher auf die zutreffenden Ausführungen in der angefochtenen Verfügung verwiesen werden. Nach dem Gesagten erfüllt der Beschwerdeführer die Flüchtlingseigenschaft nach Art. 3 AsylG nicht.</w:t>
      </w:r>
    </w:p>
    <w:p>
      <w:r>
        <w:rPr>
          <w:b/>
        </w:rPr>
        <w:t>E. 6</w:t>
      </w:r>
    </w:p>
    <w:p>
      <w:r>
        <w:t>Unter diesen Umständen erübrigt es sich, auf die weiteren Vorbringen in der Beschwerde sowie die eingereichten Beweismittel im Einzelnen einzugehen, da sie am Ergebnis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