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D-8820/2007 vom 23. August 2011</w:t>
      </w:r>
    </w:p>
    <w:p>
      <w:r>
        <w:t>Bundesverwaltungsgericht, 2011-08-23, FR</w:t>
      </w:r>
    </w:p>
    <w:p>
      <w:r>
        <w:rPr>
          <w:b/>
        </w:rPr>
        <w:t xml:space="preserve">Quelle: </w:t>
      </w:r>
      <w:r>
        <w:t>https://mcp.opencaselaw.ch/entscheid/bvger_D-8820_2007</w:t>
      </w:r>
    </w:p>
    <w:p>
      <w:r>
        <w:t>FR: TAF D-8820/2007 du 23 août 2011</w:t>
      </w:r>
    </w:p>
    <w:p>
      <w:r>
        <w:t>IT: TAF D-8820/2007 del 23 agosto 2011</w:t>
      </w:r>
    </w:p>
    <w:p>
      <w:pPr>
        <w:pStyle w:val="Heading2"/>
      </w:pPr>
      <w:r>
        <w:t>Regeste</w:t>
      </w:r>
    </w:p>
    <w:p>
      <w:r>
        <w:t>Exécution du renvoi</w:t>
      </w:r>
    </w:p>
    <w:p>
      <w:pPr>
        <w:pStyle w:val="Heading2"/>
      </w:pPr>
      <w:r>
        <w:t>Erwägungen</w:t>
      </w:r>
    </w:p>
    <w:p>
      <w:r>
        <w:rPr>
          <w:b/>
        </w:rPr>
        <w:t>E. 2</w:t>
      </w:r>
    </w:p>
    <w:p>
      <w:r>
        <w:t>L'intéressée a qualité pour recourir (art. 48 al. 1 PA) et son recours, interjeté dans la forme (art. 52 al. 1 PA) et le délai (art. 108 al. 1 LAsi) prescrits par la loi, est recevable. Dès lors que, suite l'arrêt sur révision du 17 décembre 2010, la procédure de recours a été reprise en matière d'exécution du renvoi uniquement, les questions touchant à la reconnaissance de la qualité de réfugié, à l'octroi de l'asile et au renvoi, dans son principe, sont entrées en force de chose jugée. Les conclusions qui portent sur ces questions, contenues dans le courrier du 8 mars 2011, sont donc irrecevables. Seule reste à examiner la question de l'exécution du renvoi de l'intéressée et de son enfant.</w:t>
      </w:r>
    </w:p>
    <w:p>
      <w:r>
        <w:rPr>
          <w:b/>
        </w:rPr>
        <w:t>E. 3</w:t>
      </w:r>
    </w:p>
    <w:p>
      <w:r>
        <w:t>L'exécution du renvoi est ordonnée si elle est licite, raisonnablement exigible et possible (art. 44 al. 2 LAsi). A défaut, l'ODM prononce l'admission provisoire, réglée par l'art. 83 de la loi fédérale du 16 décembre 2005 sur les étrangers (LEtr, RS 142.20).</w:t>
      </w:r>
    </w:p>
    <w:p>
      <w:r>
        <w:rPr>
          <w:b/>
        </w:rPr>
        <w:t>E. 4</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4.1</w:t>
      </w:r>
    </w:p>
    <w:p>
      <w:r>
        <w:t>En l'espèce, l'exécution du renvoi ne contrevient pas au principe de non-refoulement de l'art. 5 LAsi. La qualité de réfugié ayant été définitivement déniée à la recourante, elle ne peut se prévaloir de risques de sérieux préjudices au sens de l'art. 3 LAsi en cas de retour dans son pays d'origine.</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4.2.1</w:t>
      </w:r>
    </w:p>
    <w:p>
      <w:r>
        <w:t>En l'occurrence, la recourante invoque d'une part, le fait qu'elle risquerait d'être mise au ban de la société guinéenne en cas de retour dans ce pays en raison du fait qu'elle est une mère célibataire, et d'autre part, que sa fille risquerait d'être victime d'une excision, la pression de ladite société étant trop forte pour que la recourante puisse efficacement s'opposer à cette pratique.</w:t>
      </w:r>
    </w:p>
    <w:p>
      <w:r>
        <w:rPr>
          <w:b/>
        </w:rPr>
        <w:t>E. 4.2.1.1</w:t>
      </w:r>
    </w:p>
    <w:p>
      <w:r>
        <w:t>Un risque d'exclusion de la société guinéenne, tel qu'invoqué, n'est pas fondé. En premier lieu, force est de constater qu'être mère célibataire est un phénomène courant dans les villes de Guinée, même si certaines familles musulmanes radicales peuvent rejeter leurs filles mères célibataires. Ensuite, les institutions scolaires acceptent les mères célibataires et plusieurs organisations non gouvernementales travaillent à l'amélioration du statut socioculturel et politique de la femme (cf. notamment Commission de l'immigration et du statut de réfugié du Canada, Réponses aux demandes d'information [RDI], Guinée, GIN43078.F, du 19 octobre 2004). Dans ces conditions, le Tribunal ne voit pas en quoi la recourante - qui n'a jamais fait valoir une appartenance à une famille radicale - pourrait se prévaloir d'un risque hautement probable d'exclusion. Enfin, il n'est nullement exclu que l'intéressée puisse faire appel à [proche parent] notamment pour la soutenir à son retour dès lors qu'elle n'a pas rendu crédible ses motifs de fuite en lien avec un mariage forcé ni ses déclarations sur la composition de sa famille et de sa belle-famille prétendue.</w:t>
      </w:r>
    </w:p>
    <w:p>
      <w:r>
        <w:rPr>
          <w:b/>
        </w:rPr>
        <w:t>E. 4.2.1.2</w:t>
      </w:r>
    </w:p>
    <w:p>
      <w:r>
        <w:t>En ce qui concerne le risque d'excision, il n'est pas non plus fondé dans le cas particulier. Certes, les mutilations génitales sont encore très répandues en Guinée, où pratiquement toutes les femmes sont concernées. A._______ étant opposée à cette pratique, laquelle est également combattue par les autorités guinéennes - dont les mesures prises en vue de son abolition, en particulier quant à ses formes les plus cruelles, se révèlent de plus en plus efficaces - il n'y a pas lieu d'admettre un risque réel et concret que sa fille y soit soumise. La recourante étant née et ayant vécu la majeure partie de sa vie à C._______, elle est à l'évidence issue d'un milieu urbain dont il n'est pas certain qu'il lui imposera, au vu des conditions actuelles et des mesures prises par les autorités de son pays, l'excision de sa fille.</w:t>
      </w:r>
    </w:p>
    <w:p>
      <w:r>
        <w:rPr>
          <w:b/>
        </w:rPr>
        <w:t>E. 4.2.1.3</w:t>
      </w:r>
    </w:p>
    <w:p>
      <w:r>
        <w:t>Par conséquent, la recourante ne peut se prévaloir d'un risque de traitements contraires à l'art. 3 CEDH, tant pour elle-même que pour sa fille.</w:t>
      </w:r>
    </w:p>
    <w:p>
      <w:r>
        <w:rPr>
          <w:b/>
        </w:rPr>
        <w:t>E. 4.3</w:t>
      </w:r>
    </w:p>
    <w:p>
      <w:r>
        <w:t>Partant, l'exécution du renvoi de la recourante sous forme de refoulement ne transgresse aucun engagement de la Suisse relevant du droit international, de sorte qu'elle s'avère licite (art. 44 al. 2 LAsi et 83 al. 3 LEtr).</w:t>
      </w:r>
    </w:p>
    <w:p>
      <w:r>
        <w:rPr>
          <w:b/>
        </w:rPr>
        <w:t>E. 4.4</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 JICRA 2005 n° 24 consid. 10.1 p. 215 et jurisp. cit.).</w:t>
      </w:r>
    </w:p>
    <w:p>
      <w:r>
        <w:rPr>
          <w:b/>
        </w:rPr>
        <w:t>E. 4.4.1</w:t>
      </w:r>
    </w:p>
    <w:p>
      <w:r>
        <w:t>En l'espèce,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4.4.2</w:t>
      </w:r>
    </w:p>
    <w:p>
      <w:r>
        <w:t>En outre, il ne ressort du dossier aucun élément dont on pourrait inférer que l'exécution du renvoi impliquerait une mise en danger concrète de la recourante. Celle-ci est jeune, au bénéfice d'une formation acquise en Suisse et dispose sans aucun doute d'un réseau social et familial dans la ville de C._______, où elle est née et a vécu jusqu'à son départ pour la Suisse. Elle n'a en outre pas fait état de problèmes de santé qui, par leur gravité, feraient obstacle au renvoi. Enfin, et comme vu précédemment, le fait qu'elle soit jeune mère célibataire n'est pas non plus un obstacle. Le Tribunal estime que, compte tenu du fait que ses motifs d'asile ont été considérés comme invraisemblables, il n'est pas possible d'exclure qu'elle puisse bénéficier d'un soutien social et familial bien plus large que ce qu'elle a déclaré à ce sujet. En outre, et en tout état de cause, compte tenu de la présence de (...) [proche parent] à C._______ et de la possibilité, pour elle et sa fille, de s'installer dans cette ville, il n'y a pas lieu de conclure qu'elle se retrouverait dans une situation particulièrement vulnérable en cas de retour au pays. (...) [proche parent] représente ainsi, pour le moins, un point de chute et un soutien social et financier. Dans ces conditions, et compte tenu également de la possibilité pour la recourante de solliciter le bénéfice du programme d'aide au retour en Guinée, le Tribunal estime qu'elle pourra se réinstaller avec sa fille dans son pays d'origine, sans y affronter d'excessives difficultés susceptibles de la mettre concrètement en danger.</w:t>
      </w:r>
    </w:p>
    <w:p>
      <w:r>
        <w:rPr>
          <w:b/>
        </w:rPr>
        <w:t>E. 4.4.3</w:t>
      </w:r>
    </w:p>
    <w:p>
      <w:r>
        <w:t>Pour ces motifs, l'exécution du renvoi doit être considérée comme raisonnablement exigible.</w:t>
      </w:r>
    </w:p>
    <w:p>
      <w:r>
        <w:rPr>
          <w:b/>
        </w:rPr>
        <w:t>E. 4.5</w:t>
      </w:r>
    </w:p>
    <w:p>
      <w:r>
        <w:t>Enfin, la recourante est en mesure d'entreprendre toute démarche nécessaire auprès de la représentation de son pays en vue de l'obtention de documents de voyage lui permettant de quitter la Suisse. L'exécution du renvoi ne se heurte donc pas à des obstacles insurmontables d'ordre technique et s'avère également possible, au sens de l'art. 83 al. 2 LEtr.</w:t>
      </w:r>
    </w:p>
    <w:p>
      <w:r>
        <w:rPr>
          <w:b/>
        </w:rPr>
        <w:t>E. 4.6</w:t>
      </w:r>
    </w:p>
    <w:p>
      <w:r>
        <w:t>Cela étant, l'exécution du renvoi doit être déclarée conforme aux dispositions légales. Il s'ensuit que le recours en cette matière doit être rejeté.</w:t>
      </w:r>
    </w:p>
    <w:p>
      <w:r>
        <w:rPr>
          <w:b/>
        </w:rPr>
        <w:t>E. 5</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La demande d'assistance judiciaire partielle de l'intéressée ayant été admise par décision incidente du 9 novembre 2007,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