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D-8814/2007 vom 20. August 2010</w:t>
      </w:r>
    </w:p>
    <w:p>
      <w:r>
        <w:t>Bundesverwaltungsgericht, 2010-08-20, DE</w:t>
      </w:r>
    </w:p>
    <w:p>
      <w:r>
        <w:rPr>
          <w:b/>
        </w:rPr>
        <w:t xml:space="preserve">Quelle: </w:t>
      </w:r>
      <w:r>
        <w:t>https://mcp.opencaselaw.ch/entscheid/bvger_D-8814_2007</w:t>
      </w:r>
    </w:p>
    <w:p>
      <w:r>
        <w:t>FR: TAF D-8814/2007 du 20 août 2010</w:t>
      </w:r>
    </w:p>
    <w:p>
      <w:r>
        <w:t>IT: TAF D-8814/2007 del 20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VGG genannten Behörden. Dazu gehören Verfügungen des BFM gestützt auf das Asylgesetz; das Bundesverwaltungsgericht entscheidet in diesem Bereich endgültig (Art. 105 AsylG; Art. 83 Bst. d Ziff. 1 des Bundesgerichtsgesetzes vom 17. Juni 2005 [BGG, SR 173.110]). Ebenso ist das Bundesverwaltungsgericht zuständig für den Entscheid über Gesuche nach Art. 24 VwVG.</w:t>
      </w:r>
    </w:p>
    <w:p>
      <w:r>
        <w:rPr>
          <w:b/>
        </w:rPr>
        <w:t>E. 1.2</w:t>
      </w:r>
    </w:p>
    <w:p>
      <w:r>
        <w:t>Aufgrund der Volljährigkeit des Gesuchstellers/Beschwerdeführers L._______ wird er aus dem zu beurteilenden Gesuchs- und Beschwerdeverfahren seiner Mutter und der übrigen Geschwister (vgl. [...]) abgetrennt und über sein Verfahren wird separat im vorliegenden Urteil entschieden.</w:t>
      </w:r>
    </w:p>
    <w:p>
      <w:r>
        <w:rPr>
          <w:b/>
        </w:rPr>
        <w:t>E. 2.1</w:t>
      </w:r>
    </w:p>
    <w:p>
      <w:r>
        <w:t>In der Rechtsmitteleingabe stellt der Gesuchsteller/Beschwerdeführer ein Gesuch um Wiederherstellung der Beschwerdefrist und begründet dieses damit, dass seine Mutter T._______ in ihrer Asylsache niemanden mandatiert habe. Sein Grossvater, den seine Mutter auf der Flucht in B._______ getroffen habe, habe offensichtlich im (...) einen Rechtsvertreter beauftragt. Indessen sei seine Mutter schon lange volljährig gewesen. Der negative Asylentscheid sei in der Folge lediglich an die Adresse des angeblichen Rechtsvertreters, der jedoch nie Kontakt mit seiner Mutter gehabt habe, zugestellt worden. Seine Mutter habe vom ablehnenden Asylentscheid erst durch Zufall bei der Zustellung der Ausreisevorladung erfahren.</w:t>
      </w:r>
    </w:p>
    <w:p>
      <w:r>
        <w:rPr>
          <w:b/>
        </w:rPr>
        <w:t>E. 2.2</w:t>
      </w:r>
    </w:p>
    <w:p>
      <w:r>
        <w:t>Gemäss Art. 24 Abs. 1 VwVG ist Voraussetzung für die Wiederherstellung der Beschwerdefrist, dass ein Gesuchsteller oder sein Vertreter unverschuldet davon abgehalten worden ist, innert der Frist zu handeln, und dass er binnen 30 Tagen nach Wegfall des Hindernisses ein entsprechendes Gesuch einreicht und die versäumte Rechtshandlung vornimmt.</w:t>
      </w:r>
    </w:p>
    <w:p>
      <w:r>
        <w:rPr>
          <w:b/>
        </w:rPr>
        <w:t>E. 2.3</w:t>
      </w:r>
    </w:p>
    <w:p>
      <w:r>
        <w:t>Vorliegend ist davon auszugehen, dass das Fristwiederherstellungsgesuch rechtzeitig gestellt wurde. Die versäumte Rechtshandlung wurde nachgeholt, indem gleichzeitig eine rechtsgenügliche Beschwerde eingereicht wurde. Auf das Gesuch ist somit einzutreten.</w:t>
      </w:r>
    </w:p>
    <w:p>
      <w:r>
        <w:rPr>
          <w:b/>
        </w:rPr>
        <w:t>E. 2.4</w:t>
      </w:r>
    </w:p>
    <w:p>
      <w:r>
        <w:t>Ein Fristversäumnis ist gemäss Lehre und Rechtsprechung zu Art. 24 Abs. 1 VwVG nur dann unverschuldet, wenn dafür objektive Gründe vorliegen und der säumigen Partei beziehungsweise ihrem Vertreter keine Nachlässigkeit vorgeworfen werden kann, wie etwa im Falle von Naturkatastrophen, bei Militärdienst oder schwerwiegender Erkrankung. Daneben können auch subjektive Gründe eine Fristwiederherstellung rechtfertigen, welche dann vorliegen, wenn der - objektiv betrachtet - Handlungsfähige lediglich deshalb untätig bleibt, weil er die Situation zufolge eines Irrtums oder auf Grund mangelnder Kenntnisse nicht richtig einzuschätzen vermag. Schliesslich kann auch eine Kumulation verschiedener Umstände, die je für sich betrachtet das Versäumnis nicht zu entschuldigen vermöchten, die Voraussetzungen von Art. 24 VwVG erfüllen (vgl. zum Ganzen STEFAN VOGEL in: Auer/Müller/Schindler [Hrsg.], Kommentar zum Bundesgesetz über das Verwaltungsverfahren [VwVG], Zürich 2008, Rz. 10 ff. zu Art. 24).</w:t>
      </w:r>
    </w:p>
    <w:p>
      <w:r>
        <w:rPr>
          <w:b/>
        </w:rPr>
        <w:t>E. 2.5</w:t>
      </w:r>
    </w:p>
    <w:p>
      <w:r>
        <w:t>Die in der Rechtsmitteleingabe vorgebrachte Argumentation bezüglich des Fristwiederherstellungsgesuchs vermag nicht zu überzeugen. So wird aus der in den Akten liegenden und von der Mutter des Gesuchstellers/Beschwerdeführers handschriftlich unterzeichneten Vollmacht (vgl. A14/1) deutlich, dass diese am (...) den in (...) domizilierten (...) mit der Wahrung ihrer Interessen im Asylverfahren beauftragt hatte. Der Rechtsvertreter nahm in der Folge mit dem BFM Kontakt auf, um seine Teilnahme an der direkten Anhörung der Mutter des Gesuchstellers/Beschwerdeführers mitzuteilen, an welcher dieser denn auch teilnahm (vgl. A13/2 und A17/10). Das Fristwiederherstellungsgesuch ist jedoch aus anderen Gründen gutzuheissen: Infolge des im massgeblichen Zeitraum erfolgten Todes des Rechtsvertreters war die Mutter des Gesuchstellers/Beschwerdeführers unverschuldet verhindert, rechtzeitig von der angefochtenen Verfügung des BFM Kenntnis zu nehmen und innerhalb der Beschwerdefrist eine entsprechende Beschwerde zu erheben, weshalb diese Umstände das Versäumnis einer rechtzeitigen Beschwerdeerhebung zu entschuldigen vermögen.</w:t>
      </w:r>
    </w:p>
    <w:p>
      <w:r>
        <w:rPr>
          <w:b/>
        </w:rPr>
        <w:t>E. 2.6</w:t>
      </w:r>
    </w:p>
    <w:p>
      <w:r>
        <w:t>Somit ist das Gesuch um Wiederherstellung der Beschwerdefrist gutzuheissen. Da der Gesuchsteller/Beschwerdeführer im Weiteren zur Beschwerdeerhebung legitimiert ist, ist auf die ansonsten formgerecht eingereichte Beschwerde einzutreten (Art. 105 AsylG i.V.m. Art. 37 VGG und Art. 48 Abs. 1, Art. 50 und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zur Begründung des ablehnenden Asylentscheides im Wesentlichen fest, die Vorbringen des Beschwerdeführers und seiner Familienangehörigen bezüglich des Vorfalls, wonach ihr Zelt von Unbekannten in Brand gesetzt worden sei und sich mehrere Kinder dabei Verbrennungen zugezogen hätten, sowie des Übergriffs auf die Mutter des Beschwerdeführers im Zug, wo man diese mit einem Messer angegriffen und verletzt habe, als man ihr die Geldbörse habe stehlen wollen, seien als asylirrelevant zu erachten. So würden sich in den Akten keine konkreten Hinweise finden, dass die Übergriffe aus den in Art. 3 AsylG genannten Gründen geschehen wären. Hinsichtlich der verweigerten Auszahlung von Sozialhilfe und des Umstands, dass der Beschwerdeführer und seine Geschwister nicht in die Schule von S._______ hätten gehen können, sei festzuhalten, dass dieses Vorgehen seitens der Behörden rechtsstaatlich legitim gewesen sei. So habe die Mutter des Beschwerdeführers nach ihrem Aufenthalt in K._______ offensichtlich keine gesetzliche Berechtigung zum Empfang von Sozialhilfe gehabt und der Beschwerdeführer und seine Geschwister hätten sich in I._______, wo sie bei der Geburt registriert worden seien, zur Einschulung melden müssen. Diese Vorbringen seien demnach nicht asylrelevant. Zur angeführten allgemeinen Benachteiligung der Roma führte die Vorinstanz an, dass am 7. März 2002 das Bundesgesetz zum Schutz und zur Freiheit der Nationalen Minoritäten Gesetzeskraft erlangt habe, wobei auch die Roma als nationale Minderheit anerkannt worden seien. Zwar sei dieses Gesetz in den Bezirken und Kommunen noch nicht vollumfänglich umgesetzt worden, weshalb die Roma im täglichen Leben Benachteiligungen ausgesetzt werden könnten, die aber wegen fehlender Intensität in der Regel nicht asylrelevant seien. Vorliegend hätten der Beschwerdeführer und seine Familienangehörigen ausser den oben als nicht asylrelevant erwogenen Vorbringen keine weiteren konkreten Behelligungen seitens der Behörden ihres Heimatstaates geltend gemacht. Nach dem Gesagten würden sich diese Vorbringen als nicht asylrelevant erweisen.</w:t>
      </w:r>
    </w:p>
    <w:p>
      <w:r>
        <w:rPr>
          <w:b/>
        </w:rPr>
        <w:t>E. 5.2</w:t>
      </w:r>
    </w:p>
    <w:p>
      <w:r>
        <w:t>Demgegenüber wendet der Beschwerdeführer in seiner Beschwerdeschrift ein, seine Flüchtlingseigenschaft sei aufgrund des dargelegten Sachverhaltes als überwiegend wahrscheinlich belegt. Er und seine Familienangehörigen seien wegen der angeführten Schwierigkeiten in ihrer Heimat einer fortgesetzten unerträglich schikanösen Behandlung unzweifelhaft ausgesetzt gewesen. Weiter seien sie aufgrund der willkürlichen Vorgehensweise der heimatlichen Behörden respektive Sicherheitskräfte Übergriffen schutzlos ausgesetzt.</w:t>
      </w:r>
    </w:p>
    <w:p>
      <w:r>
        <w:rPr>
          <w:b/>
        </w:rPr>
        <w:t>E. 5.3</w:t>
      </w:r>
    </w:p>
    <w:p>
      <w:r>
        <w:t>Das Bundesverwaltungsgericht kommt nach Würdigung der Akten zum Schluss, dass die Vorbringen in der Rechtsmitteleingabe nicht geeignet sind, die mit zutreffender Begründung dargelegte Einschätzung der Vorinstanz in einem anderen Licht erscheinen zu lassen. Bezüglich der beiden Vorfälle (Brandstiftung am Zelt, welche Verbrennungen einzelner Geschwister des Beschwerdeführers zur Folge gehabt habe; versuchter Diebstahl der Geldbörse im Zug verbunden mit Angriff und Verletzung der Mutter des Beschwerdeführers durch Messerstiche) hat die Vorinstanz zu Recht erkannt, dass keine Hinweise bestehen, wonach diese Vorkommnisse auf einem in Art. 3 AsylG genannten Grund beruhen. Zudem begründen diese Vorkommnisse - in Berücksichtigung der in Entscheidungen und Mitteilungen der Schweizerischen Asylrekurskommission [EMARK] 2006 Nr. 18 begründeten Praxisänderung hinsichtlich der Frage der flüchtlingsrechtlichen Relevanz nichtstaatlicher Verfolgung (Wechsel von der Zurechenbarkeits- zur Schutztheorie) - keine Asylrelevanz. So kann keine faktische Garantie für langfristigen individuellen Schutz der von nichtstaatlicher Verfolgung bedrohten Person verlangt werden, weil es keinem Staat gelingen kann, die absolute Sicherheit aller seiner Bürger und Bürgerinnen jederzeit und überall zu garantieren. Zudem ist vorliegend von einer grundsätzlich funktionierenden und effizienten Schutzinfrastruktur in Montenegro auszugehen, welche den Gesuchstellenden/Beschwerdeführenden zur Verfügung steht und es ihnen grundsätzlich ermöglicht, durch Inanspruchnahme von Polizei und Justiz gegen allfällige Bedrohungen vorzugehen. Vorliegend kann denn auch vom Schutzwillen der montenegrinischen Behörden ausgegangen werden, zumal die Mutter des Beschwerdeführers eigenen Angaben zufolge nach jedem Vorfall (Zeltbrand und Überfall im Zug) bei der Polizei eine Anzeige erstattete, diese jedoch wegen unbekannter Täterschaft nicht habe aktiv werden können (vgl. Protokoll direkte Anhörung, S. 6 unten). Dies kann den staatlichen Behörden jedoch nicht zum Vorwurf gemacht werden. Darüber hinaus ist festzuhalten, dass die Lage der Roma in Montenegro zwar als schwierig, aber nicht als derart gravierend eingestuft werden muss, als dass Angehörige dieser Minderheit dort mit Verfolgung in asylrelevanter Weise rechnen müssten. Im Übrigen ist an dieser Stelle darauf hinzuweisen, dass Montenegro durch den Bundesrat am 1. Januar 2007 als "safe country" d.h. als verfolgungssicherer Staat erklärt wurde. Eine begründete Furcht vor künftigen asylrelevanten Nachteilen ist bei dieser Sachlage mit überwiegender Wahrscheinlichkeit auszuschliessen. Der Beschwerdeführer bringt weiter auch nichts vor, das die von der Vorinstanz im angefochtenen Entscheid bejahte Legitimität der staatlichen Weigerung, seiner Mutter Sozialhilfe auszurichten und ihm sowie seinen Geschwistern in S._______ den Schulbesuch zu gestatten, in Frage stellen würde und zu einer anderen Würdigung dieser Sachverhaltselemente in asylrechtlicher Hinsicht führen müsste.</w:t>
      </w:r>
    </w:p>
    <w:p>
      <w:r>
        <w:rPr>
          <w:b/>
        </w:rPr>
        <w:t>E. 5.4</w:t>
      </w:r>
    </w:p>
    <w:p>
      <w:r>
        <w:t>Zusammenfassend ist festzuhalten, dass die Vorinstanz im angefochtenen Entscheid zu Recht und mit zutreffender Begründung das Asylgesuch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über keine ausländerrechtliche Aufenthaltsbewilligung oder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Montenegro ist demnach unter dem Aspekt von Art. 5 AsylG rechtmässig. Sodann ergeben sich weder aus den Aussagen des Beschwerdeführers noch aus den Akten Anhaltspunkte dafür, dass er für den Fall einer Ausschaffung nach Montenegro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Montenegro lässt den Wegweisungsvollzug zum heutigen Zeitpunkt klarerweise nicht als unzulässig erscheinen. Nach dem Gesagten ist der Vollzug der Wegweisung sowohl im Sinne der asyl- als auch der völkerrechtlichen Bestimmungen zulässig.</w:t>
      </w:r>
    </w:p>
    <w:p>
      <w:r>
        <w:rPr>
          <w:b/>
        </w:rPr>
        <w:t>E. 7.3.1</w:t>
      </w:r>
    </w:p>
    <w:p>
      <w:r>
        <w:t>Gemäss Art. 83 Abs. 4 AuG kann der Vollzug für Ausländerinnen oder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Der Beschwerdeführer gehört der Ethnie der Roma an und hat vor der Ausreise während einiger Zeit in J._______ respektive S._______ gelebt. Hinsichtlich der generellen Situation der Roma in Montenegro kann grundsätzlich auf die entsprechenden Ausführungen der Vorinstanz im angefochtenen Entscheid verwiesen werden. Zwar soll nicht in Abrede gestellt werden, dass die Rückkehr des Beschwerdeführers, welcher sich während seines bisherigen Lebens nur rund zwei Jahre in seiner Heimat und die übrige Zeit in Westeuropa (K._______, Schweiz) aufhielt, mit Schwierigkeiten verbunden sein dürfte. Das Bundesverwaltungsgericht erachtet jedoch einen Vollzug der Wegweisung aus folgenden Gründen dennoch als zumutbar: So halten sich gemäss Angaben der Mutter des Beschwerdeführers ein Onkel sowie eine Tante in seinem Heimatland auf, welche ihn bei einer Reintegration werden unterstützen können. Der Beschwerdeführer hat sich denn auch während einiger Monate vor seiner erneuten Ausreise im Jahre 2005 zusammen mit seiner Mutter und seinen Geschwistern bei seiner Tante in S._______ aufgehalten (vgl. A3/11, S. 3 und 7). Sodann verfügt er in diversen (...) Ländern über weitere Onkel und Tanten mit gefestigtem Aufenthaltsstatus (vgl. A3/11, S. 3 f.). Diese können den Beschwerdeführer (zumindest) finanziell unterstützen, was angesichts des Kaufkraftunterschiedes zwischen diesen Ländern und Montenegro - wie die Vorinstanz zu Recht erwog - bereits mit kleinen Beträgen effektiv geschehen kann. Allenfalls käme auch die Inanspruchnahme von Rückkehrhilfe in Betracht. Weiter kann sich der Beschwerdeführer bei einer Rückkehr von seinen volljährigen Brüdern A. (Geschäftsnr. [...]; N_______) und E. (Geschäftsnr. [...]; N_______) begleiten und unterstützen lassen, zumal deren Beschwerden mit Urteilen des Bundesverwaltungsgerichts gleichen Datums ebenfalls abgewiesen werden.</w:t>
      </w:r>
    </w:p>
    <w:p>
      <w:r>
        <w:rPr>
          <w:b/>
        </w:rPr>
        <w:t>E. 7.3.3</w:t>
      </w:r>
    </w:p>
    <w:p>
      <w:r>
        <w:t>Hinsichtlich der mit Eingaben vom 2. Februar 2007 und 5. März 2007 eingereichten medizinischen Unterlagen betreffend den Beschwerdeführer, wonach dieser (Darlegung Behandlung) behandelt worden sei und woraus eine Beeinträchtigung dessen (...) Gesundheitszustandes ersichtlich wird, ist Folgendes zu erwägen: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Vorliegend sind unter diesen Rahmenbedingungen den Akten keine stichhaltigen Anhaltspunkte für das Vorliegen einer medizinischen Notlage im Heimatstaat im Sinne von Art. 83 Abs. 4 AuG zu entnehmen. Sollten sich beim Beschwerdeführer im Falle eines allfälligen zwangsweisen Vollzugs der Wegweisung suizidale Tendenzen akzentuieren (Nennung Beweismittel und Diagnose), müsste diesem Umstand mit geeigneten medikamentösen oder allenfalls auch (...) Massnahmen entgegengewirkt werden, so dass eine konkrete Gefahr ernster gesundheitlicher Schäden vermieden würde. Somit würden auch die gesundheitlichen Probleme des Beschwerdeführers im Falle der freiwilligen Rückkehr in die Heimat beziehungsweise eines zwangsweisen Vollzugs der Wegweisung keine drastische und lebensbedrohende Verschlechterung seines Gesundheitszustandes nach sich ziehen (vgl. EMARK 2004 Nr. 7 E. 5d, EMARK 2003 Nr. 24 E. 5b S. 157 f.). Letztere Bedingungen sind für den Beschwerdeführer nicht erfüllt, zumal es ihm zumutbar ist, für die Behandlung seiner allenfalls heute noch bestehenden Leiden auf die medizinische Infrastruktur seines Heimatlandes und familiäre Hilfe zurückzugreifen, was, wie oben dargelegt wurde, möglich ist. Vor diesem Hintergrund ist die Zumutbarkeit des Wegweisungsvollzugs des Beschwerdeführers, der in der Schweiz mehrfach strafrechtlich in Erscheinung trat, nach Montenegro vorliegend zu bejahen.</w:t>
      </w:r>
    </w:p>
    <w:p>
      <w:r>
        <w:rPr>
          <w:b/>
        </w:rPr>
        <w:t>E. 7.4</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7.5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grundsätzlich vom Beschwerdeführer zu tragen (Art. 63 Abs. 1 und 5 VwVG). Jedoch liegen in casu Gründe in der Sache vor (vgl. Ziffer 1.2 oben), die es als unverhältnismässig erscheinen lassen, dem Beschwerdeführer die Verfahrenskosten aufzuerlegen (vgl. Art. 6 Bst. b des Reglements vom 21. Februar 2008 über die Kosten und Entschädigungen vor dem Bundesverwaltungsgericht ([VGKE, SR 173.320.2]). Es ist daher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