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D-8813/2010 vom 1. September 2011</w:t>
      </w:r>
    </w:p>
    <w:p>
      <w:r>
        <w:t>Bundesverwaltungsgericht, 2011-09-01, DE</w:t>
      </w:r>
    </w:p>
    <w:p>
      <w:r>
        <w:rPr>
          <w:b/>
        </w:rPr>
        <w:t xml:space="preserve">Quelle: </w:t>
      </w:r>
      <w:r>
        <w:t>https://mcp.opencaselaw.ch/entscheid/bvger_D-8813_2010</w:t>
      </w:r>
    </w:p>
    <w:p>
      <w:r>
        <w:t>FR: TAF D-8813/2010 du 1 septembre 2011</w:t>
      </w:r>
    </w:p>
    <w:p>
      <w:r>
        <w:t>IT: TAF D-8813/2010 del 1 settembre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(Art. 108 Abs. 1 AsylG; Art. 105 AsylG i.V.m. Art. 37 VGG und Art. 52 Abs. 1 VwVG) eingereichte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 zur Begründung seiner Verfügung aus, die blosse Mit­gliedschaft der Beschwerdeführenden bei der Komala beziehungsweise Aktivitäten für dieselbe könnten nicht begründen, dass sie bei einer Rück­kehr im Iran verfolgt würden. Den Akten könnten keine Hinweise dafür entnommen werden, dass die iranischen Behörden von ihrer Mitglied­schaft Kenntnis genommen oder Massnahmen zu ihrem Nachteil eingeleitet hätten. Die eingereichten Beweismittel zeigten, dass allein in der Schweiz innert weniger Monate unzählige Anlässe stattfänden, von denen anschliessend schulfotomässige Gruppenaufnahmen von Hunderten von Teilnehmern in einschlägigen Internetseiten publiziert würden, sodass es den iranischen Behörden unmöglich sein dürfte, all diesen, oftmals schlecht erkennbaren, Gesichtern Namen zuzuordnen. Die iranischen Behörden hätten nur dann ein Interesse an der Identifizierung von Personen, wenn die Aktivitäten als konkrete Bedrohung für das politische System wahrgenommen würden. Die Aktivitäten der Beschwerdeführenden könnten keine konkrete Gefährdung begründen. Ihr Verhalten in der Schweiz sei insgesamt betrachtet nicht geeignet, ein ernsthaftes Vorgehen der iranischen Sicherheitsbehörden zu bewirken. Zusammenfassend sei davon auszugehen, dass sie über kein derartiges politisches Profil verfügten, das sie bei einer Rückkehr in den Iran einer konkreten Gefährdung aussetze. Die geltend gemachten subjektiven Nachfluchtgründe hielten demnach den Anforderungen an die Flüchtlingseigenschaft nicht stand. Den Vollzug der Wegweisung erachtete das BFM als durchführbar.</w:t>
      </w:r>
    </w:p>
    <w:p>
      <w:r>
        <w:rPr>
          <w:b/>
        </w:rPr>
        <w:t>E. 4.2</w:t>
      </w:r>
    </w:p>
    <w:p>
      <w:r>
        <w:t>In der Beschwerde wird geltend gemacht, das BFM habe in der Sachverhaltsdarstellung gewichtige Faktoren nicht berücksichtigt und übergangen und das Asylgesuch überwiegend mit Textbausteinen abgewiesen. Den Beschwerdeführenden werde unterstellt, dass sie aus vorwiegend wirtschaftlichen Gründen ein Aufenthaltsrecht in der Schweiz erwirken wollten, und allein deshalb regimekritischen Aktivitäten nachgin­gen. Da der Iran über ein modernes Kontrollsystem verfüge und die Aktivitäten von gegen das Regime gerichteten Bewegungen überwache, sei davon auszugehen, dass dieser Kenntnis von ihrer Beteiligung an gegen das Regime gerichteten Veranstaltungen habe. Es habe sich nicht um Veranstaltungen gehandelt, die unter Ausschluss der Öffentlichkeit statt­gefunden hätten. Es handle sich um Veranstaltungen, welche zum Teil in unmittelbarer Nähe zu Präsident Ahmadinejad stattgefunden hät­ten. aufgrund diverser Publikationen müsse davon ausgegangen werden, dass der Iran von ihren Aktivitäten Kenntnis habe, oder dass ihm die Publikationen zumindest zur Verfügung stünden. Auch von der Schweizerischen Flüchtlingshilfe (SFH) sei in einem Bericht vom 16. November 2008 (recte: 2010) festgehalten worden, dass die Überwa­chung durch den iranischen Geheimdienst seit 2009 zugenommen habe. Die Tätigkeiten der Beschwerdeführenden seien nicht nur mit Fotos be­legt worden, sondern auch ihre Namen seien zusammen mit den Herkunftsangaben mehrfach im Internet publiziert worden. Auf den Fotos seien sie keineswegs schlecht erkennbar und aufgrund eines Fotos lasse sich leicht auf die weiteren Familienmitglieder schliessen, was die Möglichkeit der Zuordnung erhöhe. Ihre im Iran lebenden Verwandten hätten über diese Quellen von der Verhaftung der Beschwerdeführenden in der Schweiz erfahren. Auch das Interview mit ihrem volljährigen Sohn beziehungsweise Bruder sei von den Verwandten gesehen worden. Selbst wenn das Datenmaterial noch nicht ausgewertet sein sollte, wäre es für den Iran ein Leichtes, sie bei einer Rückkehr zu identifizieren. Der Iran nehme es als Bedrohung wahr, dass die Öffentlichkeit im Ausland auf die Menschenrechtslage aufmerksam gemacht werde. Der Geheimdienst überwache Veranstaltungen im Ausland und die Betroffenen oder ihre Familienangehörigen im Iran hätten Konsequenzen zu tragen. Der Be­schwerdeführer sei im Iran kein unbeschriebenes Blatt. Im ersten Asylverfahren sei erkannt worden, dass er im Jahr 1982 verhaftet worden und während fünf Jahren als politischer Gefangener inhaftiert worden sei. Er habe dazu ausgeführt, dass er sich nach seiner Freilassung zweimal monatlich bei den Behörden zur Überwachung habe melden müssen. Es sei davon auszugehen, dass er unter erhöhter Überwachung gestanden habe und nach einer Rückkehr unterstünde. Die Sichtung des durch den Iran gesammelten Datenmaterials sei daher sehr wahrscheinlich. Es sei davon auszugehen, dass der Iran sich für die Tätigkeiten der Beschwerdeführenden in der Schweiz interessiere, zumal sie kurdischer Ethnie seien. Aufgrund der illegalen Ausreise aus dem Iran sei zumindest eine vorübergehende Verhaftung anlässlich der Wiedereinreise und in dieser Zeit eine Abklärung der Aktivitäten im Ausland wahrscheinlich. Diesbezüglich sei auf den Bericht der SFH und auf eine Auskunft von Am­nesty International zu verweisen. Auch der Europäische Gerichtshof für Menschenrechte komme in einem Entscheid vom 9. März 2010 zum Schluss, dass eine Rückschaffung eines illegal ausgereisten Iraners ge­gen Art. 3 der Konvention vom 4. November 1950 zum Schutze der Men­schenrechte und Grundfreiheiten (EMRK, SR 0.101) verstosse. Schliess­lich sei zu beachten, dass die Beschwerdeführenden ihre Aktivitäten in der Schweiz fortgeführt und intensiviert hätten. Dies nicht mit dem primä­ren Ziel, Asyl zu erhalten, sondern im Nachgang zu den weiteren Entwick­lungen im Iran. Der Beschwerdeführer engagiere sich vermehrt bei der IFIR und habe an diversen Veranstaltungen teilgenommen. Sie hätten den Nachweis ihrer Flüchtlingseigenschaft erbracht und hätten als politi­sche Flüchtlinge zu gelten, weshalb ihnen Asyl zu gewähren sei. Auf­grund der jüngsten Entwicklungen im Iran, ihrer kurdischen Ethnie und der früheren Inhaftierung des Beschwerdeführers sei davon auszugehen, dass dieser auch im Fall eines Verbleibs im Iran mittlerweile die Flüchtlingseigenschaft erfüllen würde, weshalb kein Asylausschlussgrund vorliege.</w:t>
      </w:r>
    </w:p>
    <w:p>
      <w:r>
        <w:rPr>
          <w:b/>
        </w:rPr>
        <w:t>E. 5.1</w:t>
      </w:r>
    </w:p>
    <w:p>
      <w:r>
        <w:t>Das Bundesverwaltungsgericht hat im Urteil D-6959/2008 vom 5. Dezember 2008 übereinstimmend mit dem BFM befunden, die Beschwer­deführenden hätten zum Zeitpunkt des Verlassens des Irans die Flüchtlingseigenschaft nicht erfüllt, da die vom Beschwerdeführer geltend gemachten Verfolgungsvorbringen unglaubhaft seien (vgl. Urteil des Bun­desverwaltungsgerichts D-6959/2008 vom 5. Dezember 2008 E. 5). Den Beschwerdeführenden ist es im Revisionsverfahren nicht gelungen, die Rechtskraft dieses Urteils zu beseitigen und eine Wiederaufnahme des Beschwerdeverfahrens zu erwirken (vgl. Urteil des Bundesverwaltungsgerichts D-840/2009 vom 28. Mai 2009), so dass die Beurteilung der von den Beschwerdeführenden geltend gemachten Vorverfolgung im Urteil D-6959/2008 vom 5. Dezember 2008 weiterhin Bestand hat.</w:t>
      </w:r>
    </w:p>
    <w:p>
      <w:r>
        <w:rPr>
          <w:b/>
        </w:rPr>
        <w:t>E. 5.2</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(BVGE 2009/29 E. 5.1 S. 376 f., BVGE 2009/28 E. 7.1 S. 352, EMARK 2006 Nr. 1 E. 6.1 S. 10, UNHCR, Handbuch über Verfahren und Kriterien zur Feststellung der Flüchtlingseigenschaft, Genf 1993).</w:t>
      </w:r>
    </w:p>
    <w:p>
      <w:r>
        <w:rPr>
          <w:b/>
        </w:rPr>
        <w:t>E. 5.3</w:t>
      </w:r>
    </w:p>
    <w:p>
      <w:r>
        <w:t>Es trifft zu, dass sich die iranischen Behörden für die exilpolitischen Aktivitäten ihrer Staatsangehörigen interessieren. Allerdings konzentrie­ren sich die iranischen Geheimdienste bei ihren Überwachungsbemühun­gen auf Personen, die aufgrund ihrer Tätigkeiten oder Funktionen als ernsthafte und potentiell gefährliche Regimegegner wahrgenommen wer­den, wie beispielsweise Personen in exponierten Kaderstellen von poli­tisch tätigen Exilorganisationen (vgl. BVGE 2009/28 E. 7.4.4 S. 367). Die Beschwerdeführenden fallen klarerweise nicht in diese Kategorie: Auf­grund der eingereichten Beweismittel, der Anhörung durch das BFM und ihren Eingaben im zweiten Asylverfahren ist nicht davon auszugehen, dass sie innerhalb einer der exilpolitisch tätigen Organisationen und Par­teien eine exponierte Kaderstelle innehaben. Sie haben wie tausende sich in der Schweiz und anderen europäischen Staaten befindliche irani­sche Staatsangehörige an mehreren Kundgebungen gegen das iranische Regime teilgenommen, wobei sie fotografiert und teilweise offenbar auch gefilmt wurden. Diese Aufnahmen wurden teilweise mit Namensnennung und Herkunftsangaben ins Internet gestellt und auch auf Fernsehkanälen gezeigt, die im Iran gesehen werden können. Ungeachtet dessen er­scheint es insgesamt dennoch nicht als überwiegend wahrscheinlich, dass die Beschwerdeführenden aufgrund des bestehenden Foto- und Vi­deomaterials identifiziert wurden, da es sich bei ihnen nicht um für die exilpolitische Szene bedeutsame Persönlichkeiten handelt. Mit Blick auf Art und Umfang ihrer exilpolitischen Tätigkeit können sie nicht als beson­ders engagierte und exponierte Regimegegner qualifiziert werden. Daran ändert nichts, dass der Beschwerdeführer Mitglied der Komala ist, da er für diese nicht ins Rampenlicht einer breiten Öffentlichkeit getreten ist. Auch die von den Beschwerdeführenden geltend gemachte Mitgliedschaft bei der IFIR und die von H._______ in einem Schreiben vom 15. Oktober 2010 geäusserte Absicht, den Beschwerdeführer zum Nachfolger des Gemeindeführers zu erklären, sowie die in diesem Rah­men ausgeübten exilpolitischen Aktivitäten vermögen zu keinem relevan­ten Gefährdungsprofil zu führen. Selbst für den Fall des Bekanntwerdens ihrer exilpolitischen Tätigkeiten hätten sie bei einer Rückkehr in den Iran mit überwiegender Wahrscheinlichkeit keine flüchtlingsrechtlich relevante Verfolgung seitens der heimatlichen Behörden zu gewärtigen, zumal da­von auszugehen ist, dass sie vor der Ausreise aus dem Heimatland dort nicht behördlich verfolgt worden sind, was die Gefahr, aufgrund exilpoliti­scher Aktivitäten in der Schweiz bei einer Rückkehr in den Iran verfolgt zu werden, erheblich vermindert. An dieser Einschätzung ändert auch nichts, dass der Beschwerdeführer in den Jahren 1982 bis 1987 inhaftiert gewe­sen sei, konnte er doch seither bis zur Ausreise offenbar weitgehend unbehelligt im Iran leben und nicht glaubhaft machen, zum Zeitpunkt des Verlassens des Irans begründete Furcht vor Verfolgung gehabt zu haben. Ergänzend anzufügen bleibt, dass es bei der Frage, ob eine Person die Flüchtlingseigenschaft erfüllt, nicht nur um die (objektive) Gefährdung, sondern vor allem darum geht, ob sie persönlich begründete Furcht vor einer künftigen Verfolgung hat (EMARK 2000 Nr. 9 E. 5a S. 78). Diese (subjektive) Furcht vor künftiger Verfolgung ist den Beschwerdeführenden indes nicht abzunehmen. Die Beschwerdeführenden wussten - nachdem sie am 11. Oktober 2008 im Flughafen Zürich-Kloten um Asyl nachgesucht hatten - bereits nach Erlass des Urteils des Bundesverwaltungsgerichts D-6960/2008 vom 5. Dezember 2008, dass sie in den Iran zurückzukehren haben, nachdem festgestellt wurde, dass sie in ihrem Heimatland nicht verfolgt sind und auch keine Verfolgung zu befürchten haben. Es ist vor diesem Hintergrund sowie aufgrund des Umstandes, dass der Beschwerdeführer im Iran keiner politischen Verfolgung ausgesetzt war, nicht glaubhaft, dass ihre politischen Tätigkeiten in der Schweiz auf einem Prozess ernsthafter Sensibilisierung und Bewusstseinsbildung basieren. Die Beschwerdeführenden vermögen nicht das Bild von Personen zu vermitteln, die getrieben von einer tiefgreifenden politischen Überzeugung im Gastland regimekritisch an die Öffentlichkeit treten. Vielmehr entsteht der Eindruck, die Beschwerdeführenden würden mit ihren exilpolitischen Tätigkeiten den Behörden im Gastland gegenüber den Anschein von politisch engagierten Person zu erwecken versuchen. Da die Beschwerdeführenden im Zeitpunkt der Ausreise weder verfolgt waren noch begründete Furcht vor Verfolgung hatten, mithin jederzeit als unbescholtene Bürger in den Iran hätte zurückkehren können, lassen sich ihre in der Schweiz "plötzlich" einsetzenden exilpolitischen Tätigkeiten nur dadurch erklären, dass sie damit einen flüchtlingsrechtlich vermeintlich bedeutsamen Sachverhalt zu kreieren versuchen. Ein solches Verhalten im Gastland bildet jedoch ein starkes Indiz dafür, dass die Beschwerdeführenden selber nicht ernsthaft damit rechnen, sie könnten tatsächlich Gefahr laufen, im Falle der Rückkehr in die Heimat wegen ihrer exilpolitischen Aktivitäten - selbst wenn die iranischen Behörden davon Notiz nehmen sollten - ernsthafte Nachteile in Kauf nehmen zu müssen.</w:t>
      </w:r>
    </w:p>
    <w:p>
      <w:r>
        <w:rPr>
          <w:b/>
        </w:rPr>
        <w:t>E. 5.4</w:t>
      </w:r>
    </w:p>
    <w:p>
      <w:r>
        <w:t>Zusammenfassend ergibt sich, dass die geltend gemachten subjekti­ven Nachfluchtgründe auch in Anbetracht der jüngsten Entwicklungen im Iran, der kurdischen Ethnie der Beschwerdeführenden und der früheren Inhaftierung des Beschwerdeführers keine flüchtlingsrechtlich relevante Verfolgungsfurcht begründen. An dieser Einschätzung vermögen weder die weiteren Ausführungen in der Beschwerde noch die eingereichten Be­weismittel etwas zu ändern, weshalb auf diese nicht mehr näher einzuge­hen ist. Unter Berücksichtigung der gesamten Um­stände folgt, dass die Beschwerdeführenden keine Gründe nach Art. 3 AsylG nachweisen oder glaubhaft machen konnten. Die Vorinstanz hat daher die Flüchtlingseigenschaft der Beschwerdeführenden zu Recht verneint und die Asylgesuche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BVGE 2009/50 E. 9 S. 733, BVGE 2008/34 E. 9.2 S. 510,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7.3</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7.4</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Iran ist demnach unter dem Aspekt von Art. 5 AsylG rechtmässig. Sodann ergeben sich weder aus den Aussagen der Beschwerdeführenden noch aus den Akten Anhaltspunkte dafür, dass sie für den Fall einer Ausschaffung in den Iran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In der Beschwerde wird geltend gemacht, der Europäische Gerichtshof für Menschenrechte sei in einem Entscheid vom 9. März 2010 zum Schluss gekommen, eine Rückschaffung eines illegal ausgereisten Iraners verstosse gegen Art. 3 EMRK. Die Wiedergabe dieses Entscheids erfolgt indessen reichlich verkürzt, hat doch der Gerichtshof in einem konkreten Fall die Auffassung vertreten, der Beschwerdeführer in diesem Verfahren habe glaubhaft machen kön­nen, zum Zeitpunkt seiner Ausreise aus dem Iran behördlich gesucht wor­den zu sein, was zusammen mit seiner illegalen Ausreise zur Annahme führe, er werde bei einer Rückkehr in den Iran menschenrechtswidriger Behandlung ausgesetzt. Vorliegend ist dies indessen gerade nicht der Fall, da die von den Beschwerdeführenden geltend gemachte Vorverfol­gung als unglaubhaft gewertet wurde (vgl. Urteil des Bundesverwaltungsgerichts D-6959/2008 vom 5. Dezember 2008 E. 5). Es muss auch nicht befürchtet werden, dass der Beschwerdeführer im Rahmen der routinemässigen Überprüfung bei einer Rückkehr einer men­schenrechtswidrigen Behandlung ausgesetzt wird. Wie bereits im Rah­men der Prüfung der Flüchtlingseigenschaft festgehalten, lag die geltend gemachte Inhaftierung des Beschwerdeführers in den Jahren 1982 bis 1987 zum Zeitpunkt seiner Ausreise aus dem Iran schon mehr als zwei Jahrzehnte zurück. Er konnte zudem nicht glaubhaft machen, dass er vor der Ausreise behördlich gesucht wurde und es ist nicht anzunehmen, dass er heute gesucht wird. Schliesslich lässt die allgemeine Menschen­rechtssituation im Iran den Wegweisungsvollzug zum heutigen Zeitpunkt ebenso wenig als unzulässig erscheinen. Nach dem Gesagten ist der Vollzug der Wegweisung sowohl im Sinne der asyl- als auch der völkerrechtlichen Bestimmungen zulässig.</w:t>
      </w:r>
    </w:p>
    <w:p>
      <w:r>
        <w:rPr>
          <w:b/>
        </w:rPr>
        <w:t>E. 7.5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7.5.1</w:t>
      </w:r>
    </w:p>
    <w:p>
      <w:r>
        <w:t>Der Vollzug der Wegweisung der Beschwerdeführenden in den Iran ist als zumutbar im Sinne von Art. 83 Abs. 4 AuG zu erachten, da sie nicht glaubhaft darzutun vermochten, bei einer Rückkehr ins Heimatland einer konkreten Gefährdungssituation im Sinne der zu beachtenden Bestim­mung ausgesetzt zu werden. Im Iran herrscht zurzeit keine Situation allgemeiner Gewalt, weshalb in konstanter Praxis von der generellen Zumutbarkeit des Wegweisungsvollzugs ausgegangen wird. In den Akten finden sich auch keine Anhaltspunkte dafür, dass die Beschwerdeführen­den aus individuellen Gründen wirtschaftlicher und sozialer Natur in eine existenzbedrohende Situation geraten würden. Sie verfügen in der Hei­mat über ein breites verwandtschaftliches Beziehungsnetz und es ist da­von auszugehen, dass sie sich nach einer Rückkehr in die Heimat gesell­schaftlich und beruflich werden reintegrieren können. Insgesamt beste­hen daher keine konkreten Anzeichen dafür, dass sie bei einer Rückkehr in ihr Heimatland in eine existenzielle Notlage geraten würden. Hinsichtlich der geltend gemachten gesundheitlichen Probleme der Be­schwerdeführerin (vgl. die Therapiebestätigung von Frau lic. phil. G._______ und den Bericht über die Familie A._______ vom 23. Januar 2009 von Familie I._______) ist davon auszugehen, dass diese auch im Iran behandelt werden können. Gemäss der Praxis des Bundesverwaltungsgerichts ist im Rahmen der Tatbestandsvariante der me­dizinischen Notlage im Sinne von Art. 83 Abs. 4 AuG nur dann auf Unzu­mutbarkeit des Wegweisungsvollzugs zu schliessen, wenn eine not­wendige medizinische Behandlung im Heimatland nicht zur Verfügung steht und die Rückkehr zu einer raschen und lebensgefährdenden Beein­trächtigung des Gesundheitszustandes der betroffenen Person führt. Als wesentlich wird die allgemeine und dringende medizinische Behandlung erachtet, die zur Gewährleistung einer menschenwürdigen Existenz abso­lut notwendig ist. Der Umstand, dass eine medizinische Behandlung im Heimat- oder Herkunftsstaat nicht dem schweizerischen Standard ent­spricht, bewirkt noch nicht die Unzumutbarkeit des Vollzugs (vgl. BVGE 2009/2 E. 9.3.2, mit Hinweis auf EMARK 2003 Nr. 24 E. 5a und 5b). Die Beschwerdeführerin wird in ihrem Heimatland auf die dort bestehenden und nach Kenntnis des Bundesverwaltungsgerichts als ausreichend zu bezeichnenden psychiatrischen Behandlungsinstitutionen zurückgreifen können, zumal dort die psychiatrische Betreuung inklusive relativ weitrei­chender Medikation Teil der medizinischen Grundversorgung ist. Somit stehen dem Vollzug der Wegweisung der Beschwerdeführerin keine Gründe medizinischer Natur entgegen. Ergänzend ist auf die Möglichkeit hinzuweisen, bei allfälligem Bedarf beim BFM um Ausrichtung einer medizinischen Rückkehrhilfe zu ersuchen (vgl. Art. 93 Abs. 1 Bst. d AsylG; Art. 75 der Asylverordnung 2 vom 11. August 1999 über Finanzie­rungsfragen [AsylV 2, SR 142.312]).</w:t>
      </w:r>
    </w:p>
    <w:p>
      <w:r>
        <w:rPr>
          <w:b/>
        </w:rPr>
        <w:t>E. 7.5.2</w:t>
      </w:r>
    </w:p>
    <w:p>
      <w:r>
        <w:t>Die im Beschwerdeverfahren geltend gemachte Integration der Be­schwerdeführenden, die mit einem von der Familienbetreuerin zusammengestellten Dossier untermauert wird, ist im vorliegenden Verfahren von untergeordneter rechtlicher Bedeutung. Es ist angesichts des Alters der Beschwerdeführenden und der Tatsache, dass sie erst seit knapp drei Jahren in der Schweiz leben, nicht von einer derartigen Entwurzelung auszugehen, die eine Rückkehr in den Iran, in dem sie den weitaus grössten Teil ihres Lebens verbracht haben, als unzumutbar er­scheinen lassen würde. Auch der Aspekt des Kindeswohls vermag im vorliegenden Verfahren zu keiner anderen Beurteilung zu führen. Den Ak­ten ist zwar zu entnehmen, dass der mittlerweile 15-jährige Sohn der Be­schwerdeführenden durch die Ausreise aus dem Iran und die Schwierigkeiten im Rahmen der gescheiterten Ausschaffung seiner Fami­lie verstört reagierte, doch auch bezüglich ihm ist davon auszugehen, dass er sich im Iran wird zurechtfinden können, hat er doch seine ersten zwölf Lebensjahre dort verbracht. Die neunjährige Tochter der Beschwerdeführenden dürfte beziehungsmässig noch stark an ihre Eltern gebunden sein und sich rasch wieder in das Alltagsleben ihres Heimatlan­des integrieren können.</w:t>
      </w:r>
    </w:p>
    <w:p>
      <w:r>
        <w:rPr>
          <w:b/>
        </w:rPr>
        <w:t>E. 7.5.3</w:t>
      </w:r>
    </w:p>
    <w:p>
      <w:r>
        <w:t>Nach dem Gesagten erweist sich der Vollzug der Wegweisung nicht als unzumutbar.</w:t>
      </w:r>
    </w:p>
    <w:p>
      <w:r>
        <w:rPr>
          <w:b/>
        </w:rPr>
        <w:t>E. 7.6</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7.7</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die Kosten den Beschwerdeführenden aufzuerlegen (Art. 63 Abs. 1 VwVG). Da das mit der Beschwerde gestellte Gesuch um Gewährung der unentgeltlichen Rechtspflege gemäss Art. 65 Abs. 1 VwVG mit Zwischenverfügung vom 5. Januar 2011 gutgeheissen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