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D-8791/2010 vom 18. Juni 2012</w:t>
      </w:r>
    </w:p>
    <w:p>
      <w:r>
        <w:t>Bundesverwaltungsgericht, 2012-06-18, DE</w:t>
      </w:r>
    </w:p>
    <w:p>
      <w:r>
        <w:rPr>
          <w:b/>
        </w:rPr>
        <w:t xml:space="preserve">Quelle: </w:t>
      </w:r>
      <w:r>
        <w:t>https://mcp.opencaselaw.ch/entscheid/bvger_D-8791_2010</w:t>
      </w:r>
    </w:p>
    <w:p>
      <w:r>
        <w:t>FR: TAF D-8791/2010 du 18 juin 2012</w:t>
      </w:r>
    </w:p>
    <w:p>
      <w:r>
        <w:t>IT: TAF D-8791/2010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in casu nicht zutrifft, bei Vorliegen eines Auslieferungsersuchens des Staates, vor welchem die beschwerdeführende Person Schutz sucht (Art. 105 AsylG;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einzutreten (Art. 108 Abs. 1 AsylG i.V.m.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in der angefochtenen Verfügung im Einzelnen aus, aufgrund welcher Ungereimtheiten in zentralen Bereichen seiner Vorbringen es den von der Beschwerdeführerin zur Begründung des Asylgesuches geltend gemachten Sachverhalt als unglaubhaft erachtet beziehungsweise, weshalb dieser den Anforderungen an die Flüchtlingseigenschaft nicht standhält.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Wie sich aus nachfolgenden Erwägungen ergibt, hat das BFM die Asylgesuche der Beschwerdeführenden - ungeachtet der Frage, ob seine Begründung in allen Teilen zutreffend ist - zu Recht abgelehnt.</w:t>
      </w:r>
    </w:p>
    <w:p>
      <w:r>
        <w:rPr>
          <w:b/>
        </w:rPr>
        <w:t>E. 5.2.1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Uebersax/Rudin/Hugi/Yar/Geiser [Hrsg.], Ausländerrecht, 2. Aufl., Basel 2009, Rz 11.17 und 11.18).</w:t>
      </w:r>
    </w:p>
    <w:p>
      <w:r>
        <w:rPr>
          <w:b/>
        </w:rPr>
        <w:t>E. 5.2.2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5.3</w:t>
      </w:r>
    </w:p>
    <w:p>
      <w:r>
        <w:t>Die Beschwerdeführerin begründete ihre Ausreise aus der Heimat im Wesentlichen damit, sie sei kurz vor der Ausreise knapp zwei Anschlägen auf ihr Leben entronnen, weil man sie als unliebsame Mitwisserin eines Skandals um ein Kinderheim, in den auch ein ehemaliger Minister, T. T. verstrickt gewesen sei, mundtot zu machen versucht habe.</w:t>
      </w:r>
    </w:p>
    <w:p>
      <w:r>
        <w:rPr>
          <w:b/>
        </w:rPr>
        <w:t>E. 5.4</w:t>
      </w:r>
    </w:p>
    <w:p>
      <w:r>
        <w:t>Ob ihre diesbezüglichen Ausführungen - unter Zugrundelegung der getätigten Botschaftsabklärungen - überhaupt den Tatsachen entsprechen, kann vorliegend indessen offenbleiben, da selbst im Falle der Annahme, dass ihre Aussagen den Tatsachen entsprechen sollten, diese aus nachfolgenden Gründen als in asylrechtlicher Hinsicht nicht relevant zu bezeichnen sind.</w:t>
      </w:r>
    </w:p>
    <w:p>
      <w:r>
        <w:rPr>
          <w:b/>
        </w:rPr>
        <w:t>E. 5.5</w:t>
      </w:r>
    </w:p>
    <w:p>
      <w:r>
        <w:t>Eine Verfolgung vermag nämlich erst dann die Flüchtlingseigenschaft zu begründen, wenn sie aus einem der in Art. 3 Abs. 1 AsylG genannten Gründe (Rasse, Religion, Nationalität, Zugehörigkeit zu einer bestimmten sozialen Gruppe oder politische Anschauung) erfolgt. Ein derartiges Verfolgungsmotiv (vgl. hierzu beispielsweise Walter Kälin, Grundriss des Asylverfahrens, Basel/Frankfurt a. M. 1990, S. 86 ff; Alberto Achermann/Christina Hausammann, Handbuch des Asylrechts, 2. Aufl., Bern/Stuttgart 1991, S. 95 ff.; Walter Stöckli, Asyl, a.a.O., Rz 11.10 - 11.12), ist aus den vorliegenden Akten indessen nicht ersichtlich, besteht der Grund für die Verfolgung der Beschwerdeführerin doch darin, dass sie möglicherweise Zeugin gemeinrechtlicher Straftaten eines früheren Ministers geworden sein soll. Darin liegt nun aber aus asylrechtlicher Sicht kein beachtliches Verfolgungsmotiv, selbst wenn - was allerdings aufgrund der Aktenlage zufolge diverser Unstimmigkeiten im Sachvortrag wenig wahrscheinlich erscheint - allenfalls staatliche Behörden in die angeblichen Attentatsversuche gegen die Beschwerdeführerin verstrickt gewesen sein sollten. Schliesslich wäre die Publikmachung von allfälligen Skandalen, in welche der fragliche Minister angeblich verwickelt gewesen sein soll (vgl. Beschwerde S. 24 f., Art. 50), ohnehin nicht als Ausdruck einer politischen Gesinnung zu werten.</w:t>
      </w:r>
    </w:p>
    <w:p>
      <w:r>
        <w:rPr>
          <w:b/>
        </w:rPr>
        <w:t>E. 5.6</w:t>
      </w:r>
    </w:p>
    <w:p>
      <w:r>
        <w:t>Der Beschwerdeführer hat in eigener Person keine Asylgründe vorgebracht, weshalb sich diesbezügliche Erwägungen erübrigen.</w:t>
      </w:r>
    </w:p>
    <w:p>
      <w:r>
        <w:rPr>
          <w:b/>
        </w:rPr>
        <w:t>E. 5.7</w:t>
      </w:r>
    </w:p>
    <w:p>
      <w:r>
        <w:t>Bei dieser Sachlage ist gleichzeitig der Hauptantrag des Rechtsvertreters, die Verfügung des BFM vom 23. November 2010 sei aufzuheben und die Sache dem BFM zur vollständigen und richtigen Abklärung und Feststellung des rechtserheblichen Sachverhalts und zur Neubeurteilung zurückzuweisen, gegenstandslos geworden.</w:t>
      </w:r>
    </w:p>
    <w:p>
      <w:r>
        <w:rPr>
          <w:b/>
        </w:rPr>
        <w:t>E. 5.8</w:t>
      </w:r>
    </w:p>
    <w:p>
      <w:r>
        <w:t>Zusammenfassend ergibt sich, dass es den Beschwerdeführenden nicht gelungen ist, die Flüchtlingseigenschaft nachzuweisen oder zumindest glaubhaft zu machen. Es erübrigt sich, auf die weiteren Vorbringen in der Beschwerde im Einzelnen einzugehen, da diese am Ergebnis nichts zu ändern vermögen. Das BFM hat ihre Asylgesuche demnach im Ergebnis zu Recht abgelehnt.</w:t>
      </w:r>
    </w:p>
    <w:p>
      <w:r>
        <w:rPr>
          <w:b/>
        </w:rPr>
        <w:t>E. 6.1</w:t>
      </w:r>
    </w:p>
    <w:p>
      <w:r>
        <w:t>Lehnt das Bundesamt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6.2</w:t>
      </w:r>
    </w:p>
    <w:p>
      <w:r>
        <w:t>Die Beschwerdeführenden haben vom Kanton E._______ am 19. März 2012 eine Aufenthaltsbewilligung B erhalten. Die Anordnungen des Bundesamtes betreffend Wegweisung und Vollzug derselben (Ziffern 3 - 5 des Dispositivs der Verfügung vom 23. November 2010) sind unter diesen Umständen als dahin gefallen zu betrachten, da diese gegenüber dem neu erteilten Aufenthaltstitel keinen Bestand haben können (vgl. EMARK 2001 Nr. 21 E. 11c S. 178; 2000 Nr. 30 E. 4 S. 251). Die Beschwerde ist somit zufolge Wegfalls des Streitgegenstandes als gegen­standslos geworden abzuschreiben, soweit beantragt wird, es sei die Unzulässigkeit oder zumindest die Unzumutbarkeit des Wegweisungsvollzugs festzustellen und die vorläufige Aufnahme anzuordnen.</w:t>
      </w:r>
    </w:p>
    <w:p>
      <w:r>
        <w:rPr>
          <w:b/>
        </w:rPr>
        <w:t>E. 7</w:t>
      </w:r>
    </w:p>
    <w:p>
      <w:r>
        <w:t>Zusammenfassend ist festzuhalten, dass es den Beschwerdeführenden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8.1</w:t>
      </w:r>
    </w:p>
    <w:p>
      <w:r>
        <w:t>Die Beschwerdeführenden sind im vorliegenden Verfahren unterlegen, soweit sie beantragen, die Verfügung des BFM vom 23. November 2010 sei aufzuheben und ihnen Asyl zu gewähren, weshalb sie insoweit kostenpflichtig werden (vgl. Art. 63 Abs. 1 VwVG). Somit sind ihnen die Kosten des Verfahrens zur Hälfte beziehungsweise im Umfang von Fr. 300.- aufzuerlegen. Diese sind durch den am 7. März 2011 bezahlten Kostenvorschuss gedeckt und mit diesem zu verrechnen. Der Restbetrag von Fr. 300.- ist den Beschwerdeführenden mithin grundsätzlich zurückzuerstatten (siehe hierzu nachstehend E. 8.2).</w:t>
      </w:r>
    </w:p>
    <w:p>
      <w:r>
        <w:rPr>
          <w:b/>
        </w:rPr>
        <w:t>E. 8.2</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Im vorliegenden Fall ist die Gegenstandslosigkeit durch Erteilung einer kantonalen Aufenthaltsbewilligung mittels der zuständigen kantonalen Behörde eingetreten, das vorliegende Verfahren demnach ohne Zutun der Parteien gegenstandslos geworden. Vor dem Hintergrund der Annahme, dass sich die Asylvorbringen der Beschwerdeführerin als glaubhaft erwiesen haben, insoweit jene gemeinrechtliche Straftaten eines Ministers betreffen, wäre sie - was nicht mit an Sicherheit grenzender Wahrscheinlichkeit ausgeschlossen werden kann - aufgrund ihrer Kenntnisse über den Skandal in einem Kinderheim bei einer Rückkehr in ihre Heimat möglicherweise der Gefahr einer menschenrechtswidrigen Behandlung durch Dritte im Sinne von Art. 3 der Konvention vom 4. November 1950 zum Schutze der Menschenrechte und Grundfreiheiten (EMRK, 0.101) ausgesetzt. Der Beschwerde wären demnach in diesem Kontext gute Aussichten auf Erfolg beschieden gewesen, soweit eben die Anordnung der vorläufigen Aufnahme infolge Unzulässigkeit des Wegweisungsvollzugs beantragt wird. Vor diesem Hintergrund sind den Beschwerdeführenden keine Verfahrenskosten aufzuerlegen, soweit das Verfahren gegenstandslos geworden ist.</w:t>
      </w:r>
    </w:p>
    <w:p>
      <w:r>
        <w:rPr>
          <w:b/>
        </w:rPr>
        <w:t>E. 8.3</w:t>
      </w:r>
    </w:p>
    <w:p>
      <w:r>
        <w:t>Zufolge der eben beschriebenen Prozessaussichten haben die Beschwerdeführenden aufgrund ihres teilweise Obsiegens überdies einen Anspruch auf Ausrichtung einer reduzierten Parteientschädigung (vgl. Art. 64 Abs. 1 VwVG sowie Art. 15 i.V.m. Art. 5 zweiter Satz VGKE). Der Rechtsvertreter der Beschwerdeführenden hat zusammen mit seiner Eingabe vom 3. April 2012 eine Honorarnote (inkl. Spesen, ohne Mehrwertsteuerberechnung) eingereicht. Den Beschwerdeführenden ist mithin praxisgemäss eine um die Hälfte reduzierte Parteientschädigung von aufgerundet Fr. 1920.- zuzusprechen. Das BFM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