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D-876/2023 vom 21. Februar 2023</w:t>
      </w:r>
    </w:p>
    <w:p>
      <w:r>
        <w:t>Bundesverwaltungsgericht, 2023-02-21, DE</w:t>
      </w:r>
    </w:p>
    <w:p>
      <w:r>
        <w:rPr>
          <w:b/>
        </w:rPr>
        <w:t xml:space="preserve">Quelle: </w:t>
      </w:r>
      <w:r>
        <w:t>https://mcp.opencaselaw.ch/entscheid/bvger_D-876_2023</w:t>
      </w:r>
    </w:p>
    <w:p>
      <w:r>
        <w:t>FR: TAF D-876/2023 du 21 février 2023</w:t>
      </w:r>
    </w:p>
    <w:p>
      <w:r>
        <w:t>IT: TAF D-876/2023 del 21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In der Beschwerde werden formelle Rügen (Verletzung des Anspruchs auf rechtliches Gehör sowie der Pflicht zur vollständigen und richtigen Abklärung des rechtserheblichen Sachverhalts) erhoben. Diese sind vorab zu beurteilen, da sie allenfalls geeignet sind, eine Kassation der vorinstanzlichen Verfügung zu bewirken.</w:t>
      </w:r>
    </w:p>
    <w:p>
      <w:r>
        <w:rPr>
          <w:b/>
        </w:rPr>
        <w:t>E. 4.2.1</w:t>
      </w:r>
    </w:p>
    <w:p>
      <w:r>
        <w:t>Konkret rügt der Beschwerdeführer, die Vorinstanz habe seine persönliche, psychische und familiäre Situation nur ungenügend abgeklärt.</w:t>
      </w:r>
    </w:p>
    <w:p>
      <w:r>
        <w:rPr>
          <w:b/>
        </w:rPr>
        <w:t>E. 4.2.2</w:t>
      </w:r>
    </w:p>
    <w:p>
      <w:r>
        <w:t>Dazu ist zunächst festzuhalten, dass sich die Vorinstanz vor Erlass der angefochtenen Verfügung an den zuständigen Gesundheitsdienst wandte und Informationen zum (aktuellen) Gesundheitszustand des Beschwerdeführers einholte (vgl. Bst. F. vorstehend). Es ist nicht ersichtlich, inwiefern sie weitere Abklärungen zu seinem psychischen Gesundheitszustand hätte vornehmen müssen. Die Identität der in der Schweiz lebenden Cousins des Beschwerdeführers gehört sodann angesichts des in E. 6.2 nachstehend Ausgeführten nicht zum rechtserheblichen Sachverhalt. Es ist daher nicht zu beanstanden, dass die Vorinstanz keine weiteren Abklärungen hierzu tätigte, nachdem sie die Identität der Cousins aufgrund der Angaben des Beschwerdeführers im Dublin-Gespräch nicht eruieren konnte.</w:t>
      </w:r>
    </w:p>
    <w:p>
      <w:r>
        <w:rPr>
          <w:b/>
        </w:rPr>
        <w:t>E. 4.3.1</w:t>
      </w:r>
    </w:p>
    <w:p>
      <w:r>
        <w:t>Der Beschwerdeführer macht sodann geltend, die Vorinstanz habe seine persönliche, psychische und familiäre Situation sowie die Gefahr, welcher er in Kroatien ausgesetzt wäre, nicht individuell geprüft. Auch die Frage der Kettenabschiebung sei nicht geprüft worden. Ferner habe das SEM den Sachverhalt hinsichtlich der systemischen Schwachstellen in Kroatien nicht ausreichend abgeklärt und entsprechende Berichte verschiedener Organisationen nicht beachtet.</w:t>
      </w:r>
    </w:p>
    <w:p>
      <w:r>
        <w:rPr>
          <w:b/>
        </w:rPr>
        <w:t>E. 4.3.2</w:t>
      </w:r>
    </w:p>
    <w:p>
      <w:r>
        <w:t>Entgegen der Ansicht des Beschwerdeführers hat die Vorinstanz in der angefochtenen Verfügung eine Einzelfallprüfung vorgenommen, indem sie hinreichend und nachvollziehbar aufgezeigt hat, von welchen Überlegungen sie sich - gerade auch in individueller Hinsicht (vgl. angefochtene Verfügung S. 5 f.) - leiten liess. Allein der Umstand, dass der Beschwerdeführer eine andere Auffassung - namentlich zur Situation von Asylsuchenden im kroatischen Asylsystem, wobei er diesbezüglich (auch) auf Urteile deutscher Gerichte verweist - vertritt, begründet noch keine Verletzung verfahrensrechtlicher Vorschriften. Für eine (ausführlichere) Prüfung der Gefahr einer Kettenabschiebung bestand sodann mangels konkreter diesbezüglicher Vorbringen des Beschwerdeführers sowie unter Hinweis auf das in E. 7.3 f. nachstehend Ausgeführte keine Veranlassung.</w:t>
      </w:r>
    </w:p>
    <w:p>
      <w:r>
        <w:rPr>
          <w:b/>
        </w:rPr>
        <w:t>E. 4.4</w:t>
      </w:r>
    </w:p>
    <w:p>
      <w:r>
        <w:t>Soweit der Beschwerdeführer schliesslich geltend macht, die kroatischen Behörden hätten seiner Rückübernahme nur "teilweise" zugestimmt, weshalb die Bereitschaft zur Wiederaufnahme abzuklären sei, zielt diese Rüge angesichts des Wortlauts der vorliegenden Zustimmung der kroatischen Behörden ("is accepted" [vgl. Akten SEM {...}-16/2] und nicht - wie im in der Beschwerde angegebenen Fall - "is partially accepted") ins Leere.</w:t>
      </w:r>
    </w:p>
    <w:p>
      <w:r>
        <w:rPr>
          <w:b/>
        </w:rPr>
        <w:t>E. 4.5</w:t>
      </w:r>
    </w:p>
    <w:p>
      <w:r>
        <w:t>Nach dem Gesagten erweisen sich die formellen Rügen als unbegründet. Das Eventualbegehren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w:t>
      </w:r>
    </w:p>
    <w:p>
      <w:r>
        <w:rPr>
          <w:b/>
        </w:rPr>
        <w:t>E. 5.3</w:t>
      </w:r>
    </w:p>
    <w:p>
      <w:r>
        <w:t>Gemäss Art. 20 Abs. 5 Satz 1 Dublin-III-VO ist der Mitgliedstaat, bei dem der erste Antrag auf internationalen Schutz gestellt wurde,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Diese Bestimmung findet - wie vorliegend - auch im Falle der Weiterreise eines Antragstellers in einen anderen Mitgliedstaat bei noch nicht abgeschlossenem Zuständigkeitsverfahren Anwendung (vgl. Filzwieser/Sprung, Dublin-III-Verordnung, 2014, K. 19 zu Art. 20).</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6.1</w:t>
      </w:r>
    </w:p>
    <w:p>
      <w:r>
        <w:t>Vorliegend ergab ein Abgleich der Fingerabdrücke des Beschwerdeführers mit der Eurodac-Datenbank, dass er am 13. Januar 2023 in Kroatien als Asylsuchender registriert wurde. Das SEM ersuchte deshalb die kroatischen Behörden um Wiederaufnahme des Beschwerdeführers. Nachdem diese dem Ersuchen um Wiederaufnahme innert der in Art. 25 Abs. 1 Dublin-III-VO festgelegten Frist zugestimmt haben, ist die Zuständigkeit Kroatiens - unabhängig der Vorbringen des Beschwerdeführers, wonach ihm in Kroatien gegen seinen Willen die Fingerabdrücke abgenommen worden seien, er dort (willentlich) kein Asylgesuch gestellt habe und sein Reiseziel von Anfang an die Schweiz gewesen sei (vgl. dazu Urteil des BVGer F-5023/2022 vom 23. November 2022 E. 4.4. m.w.H.) - grundsätzlich gegeben. Daran ändert auch der Umstand nichts, dass die Zustimmung Kroatiens gestützt auf Art. 20 Abs. 5 Dublin-III-VO erfolgte (vgl. etwa Urteil des BVGer E-5839/2022 vom 22. Dezember 2022 E. 6 m.w.H.).</w:t>
      </w:r>
    </w:p>
    <w:p>
      <w:r>
        <w:rPr>
          <w:b/>
        </w:rPr>
        <w:t>E. 6.2</w:t>
      </w:r>
    </w:p>
    <w:p>
      <w:r>
        <w:t>Der Beschwerdeführer kann ferner aus der Anwesenheit von zwei Cousins in der Schweiz nichts zu seinen Gunsten - etwa aus Art. 9 Dublin-III-VO - ableiten. Die Cousins stellen weder Familienangehörige des Beschwerdeführers im Sinne von Art. 2 Bst. g Dublin-III-VO dar, noch ist von einem Abhängigkeitsverhältnis - auch nicht in medizinischer Hinsicht - im Sinne von Art. 16 Abs. 1 Dublin-III-VO auszugehen. Daran vermögen die Beschwerdevorbringen, wonach der Beschwerdeführer zu diesen beiden Cousins insofern ein besonderes Verhältnis habe, als sie seine einzigen Verwandten und mithin seine einzige Familie in Europa seien und er in gesundheitlicher Hinsicht Menschen brauche, mit denen er sprechen könne, nichts zu ändern.</w:t>
      </w:r>
    </w:p>
    <w:p>
      <w:r>
        <w:rPr>
          <w:b/>
        </w:rPr>
        <w:t>E. 7.1</w:t>
      </w:r>
    </w:p>
    <w:p>
      <w:r>
        <w:t>Im Lichte von Art. 3 Abs. 2 Dublin-III-VO ist zu prüfen, ob es - wie in der Beschwerde geltend gemacht -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Wie das SEM in der angefochtenen Verfügung sodann zu Recht dargelegt hat, bestehen zurzeit im Bereich der (hier interessierenden) Wiederaufnahmeverfahren (take back) keine Gründe für die Annahme, das Asylverfahren (inkl. Zuständigkeitsverfahren) und die Aufnahmebedingungen für Antragstellende in Kroatien würden systemische Schwachstellen im Sinne von Art. 3 Abs. 2 Satz 2 Dublin-III-VO aufweisen (vgl. dazu statt vieler Urteil des BVGer D-595/2023 vom 8. Februar 2023 E. 7.1 m.w.H.). An dieser Einschätzung vermögen die in der Beschwerde erwähnten Berichte "Dublin-Rückführungen nach Kroatien müssen per sofort gestoppt werden" von "Solidarité sans frontières" vom 5. Dezember 2022 und "Polizeigewalt in Bulgarien und Kroatien: Konsequenzen für Dublin-Überstellungen" der Schweizerischen Flüchtlingshilfe (SFH) vom 13. September 2022 - wie auch die weiteren angegebenen Berichte und Quellen, die älteren Datums sind - nichts zu ändern. Auch der Verweis auf die Rechtsprechung deutscher Gerichte (Beschwerde Ziff. II.3.) führt zu keiner anderen Einschätzung.</w:t>
      </w:r>
    </w:p>
    <w:p>
      <w:r>
        <w:rPr>
          <w:b/>
        </w:rPr>
        <w:t>E. 7.4</w:t>
      </w:r>
    </w:p>
    <w:p>
      <w:r>
        <w:t>Soweit in der Beschwerde (insbesondere) die sogenannten Push-backs an der kroatischen Grenze thematisiert werden, ist zunächst festzustellen, dass der Beschwerdeführer gemäss seinen Aussagen anlässlich des Dublin-Gesprächs davon nicht betroffen war. Er erwähnte jedenfalls nichts dergleichen (vgl. Bst. D. vorstehend sowie {...}-13/2). Ob seine Ausführungen in der Beschwerde, wonach er bei einem ersten Versuch nach Kroatien zu gelangen, von der kroatischen Polizei mit Schlägen zurückgetrieben worden sei, zutreffen, kann offenbleiben. Das SEM hat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Kroatien einreisen, nicht hingegen Personen, welche in Kroatien bereits einen Asylantrag gestellt und im Rahmen eines Dublin-Verfahrens nach Kroatien überstellt werden. Diesen droht grundsätzlich weder eine Abschiebung noch systematische Gewaltanwendung durch die kroatische Polizei, und der Zugang zu einem rechtsstaatlichen Asyl- und Wegweisungsverfahren steht ihnen offen (vgl. dazu Urteil des BVGer D-595/2023 vom 8. Februar 2023 E. 7.3 m.w.H.). Der in der Beschwerde angeführte Bericht der Wochenzeitung (WOZ) vom 22. Dezember 2022 ("Eine Kette der Verachtung") beziehungsweise ein in diesem enthaltenes Zitat einer Aktivistin des Centre for Peace Studies (CPS) ist nicht geeignet, Zweifel an der Ernsthaftigkeit der durch das SEM durchgeführten Abklärungen zur Situation von Dublin-Rückkehrenden nach Kroatien aufkommen zu lassen (vgl. Urteil des BVGer D-441/2023 vom 1. Februar 2023 E. 7.4).</w:t>
      </w:r>
    </w:p>
    <w:p>
      <w:r>
        <w:rPr>
          <w:b/>
        </w:rPr>
        <w:t>E. 7.5</w:t>
      </w:r>
    </w:p>
    <w:p>
      <w:r>
        <w:t>Eine Anwendung von Art. 3 Abs. 2 Sätze 2 und 3 Dublin-III-VO erweist sich demnach als nicht gerechtfertigt.</w:t>
      </w:r>
    </w:p>
    <w:p>
      <w:r>
        <w:rPr>
          <w:b/>
        </w:rPr>
        <w:t>E. 8.1</w:t>
      </w:r>
    </w:p>
    <w:p>
      <w:r>
        <w:t>Weiter ist der Frage nachzugehen, ob - wie vom Beschwerdeführer geltend gemacht - völkerrechtliche Vollzugshindernisse nach Art. 3 EMRK bestehen, woraus sich zwingende Gründe für einen Selbsteintritt nach Art. 17 Abs. 1 Dublin-III-VO ergeben würden.</w:t>
      </w:r>
    </w:p>
    <w:p>
      <w:r>
        <w:rPr>
          <w:b/>
        </w:rPr>
        <w:t>E. 8.2</w:t>
      </w:r>
    </w:p>
    <w:p>
      <w:r>
        <w:t>Die kroatischen Behörden haben der Rückübernahme des Beschwerdeführers explizit zugestimmt, weshalb kein Grund zur Annahme besteht, die kroatischen Behörden würden sich weigern, ihn wieder aufzunehmen und seinen Antrag auf internationalen Schutz unter Einhaltung der massgeblichen Bestimmungen der Verfahrensrichtlinie zu prüfen. Daran vermag das Beschwerdevorbringen, wonach ihm in Kroatien nichts erklärt und übersetzt worden sei, nichts zu ändern.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8.3</w:t>
      </w:r>
    </w:p>
    <w:p>
      <w:r>
        <w:t>Der Beschwerdeführer, der nicht einmal einen Tag (vgl. Bst. D. vorstehend) respektive lediglich zwei Nächte (vgl. Beschwerde Ziff. II.1.b) in Kroatien verbrachte, hat ausserdem mit seinen unsubstanziierten Vorbringen anlässlich des Dublin-Gesprächs und seinen (davon abweichenden) Ergänzungen in der Beschwerde (insb. gewaltsame respektive unter Schlägen erfolgte Zuführung in ein Camp) nicht dargetan, die ihn bei einer Rückführung erwartenden Bedingungen in Kroatien seien derart schlecht, dass sie zu einer Verletzung von Art. 4 der EU-Grundrechtecharta, Art. 3 EMRK oder Art. 3 FoK führen könnten. Er hat auch keine konkreten Hinweise für die Annahme vorgebracht, Kroatien würde ihm dauerhaft die ihm gemäss Aufnahmerichtlinie zustehenden minimalen Lebensbedingungen vorenthalten. Bei einer allfälligen vorübergehenden Einschränkung der ihm zustehenden Aufnahmebedingungen könnte er sich im Übrigen an die kroatischen Behörden wenden und seine Rechte auf dem Rechtsweg einfordern (vgl. Art. 26 Aufnahmerichtlinie). Dies gilt auch in Bezug auf die erstmals in der Beschwerde geltend gemachten Schläge seitens kroatischer Polizisten. Daran vermag der Umstand, dass ein rechtliches Vorgehen möglicherweise mit grösseren Hürden und Schwierigkeiten verbunden sein könnte als in der Schweiz, nichts zu ändern (vgl. Urteil des BVGer D-595/2023 vom 8. Februar 2023 E. 7.2).</w:t>
      </w:r>
    </w:p>
    <w:p>
      <w:r>
        <w:rPr>
          <w:b/>
        </w:rPr>
        <w:t>E. 8.4.1</w:t>
      </w:r>
    </w:p>
    <w:p>
      <w:r>
        <w:t>Soweit der Beschwerdeführer in der Beschwerde schliesslich geltend macht, dass ihm im Falle einer Überstellung nach Kroatien eine Verschlechterung seines psychischen Gesundheitszustands drohe, weshalb eine Wegweisung gegen Art. 3 EMKR verstosse, ist zunächst festzuhalten, dass er sich - soweit aus den Akten ersichtlich - bisher lediglich wegen Kopf- und Zahnschmerzen sowie einmalig wegen Schlafproblemen an den Gesundheitsdienst wandte, wobei ihm Dafalgan respektive ein Tee und Redormin gegeben wurde. Diese sowie allfällige weitere gesundheitliche Probleme - etwa die anlässlich des Dublin-Gesprächs angegebenen Nierenschmerzen - sind (demnach) offensichtlich nicht derart gravierend, als dass eine Überstellung nach Kroatien eine tatsächliche Gefahr (real risk) einer Verletzung von Art. 3 EMRK mit sich bringen würde (vgl. BVGE 2011/9 E. 7 mit Hinweisen auf die [damalige] Praxis des Europäischen Gerichtshofs für Menschenrechte [EGMR] sowie Urteil des EGMR Paposhvili gegen Belgien 13. Dezember 2016, Grosse Kammer 41738/10, §§ 180-193 m.w.H.).</w:t>
      </w:r>
    </w:p>
    <w:p>
      <w:r>
        <w:rPr>
          <w:b/>
        </w:rPr>
        <w:t>E. 8.4.2</w:t>
      </w:r>
    </w:p>
    <w:p>
      <w:r>
        <w:t>Kroatien verfügt zudem - was auch hinsichtlich einer allfälligen Retraumatisierung gilt - über eine ausreichende medizinische Infrastruktur (vgl. statt vieler Urteil des BVGer E-423/2023 vom 31. Januar 2023 E. 7.2.4 m.w.H.).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w:t>
      </w:r>
    </w:p>
    <w:p>
      <w:r>
        <w:rPr>
          <w:b/>
        </w:rPr>
        <w:t>E. 8.5</w:t>
      </w:r>
    </w:p>
    <w:p>
      <w:r>
        <w:t>Nach dem Gesagten erweist sich die Überstellung nach Kroatien unter Beachtung der massgeblichen völkerrechtlichen Bestimmungen als zulässig, womit keine zwingenden Gründe für einen Selbsteintritt auf das Asylgesuch des Beschwerdeführers in Anwendung der Ermessensklausel gemäss Art. 17 Abs. 1 Dublin-III-VO ersichtlich sind.</w:t>
      </w:r>
    </w:p>
    <w:p>
      <w:r>
        <w:rPr>
          <w:b/>
        </w:rPr>
        <w:t>E. 9</w:t>
      </w:r>
    </w:p>
    <w:p>
      <w:r>
        <w:t>Gemäss Praxis des Bundesverwaltungsgerichts verfügt das SEM sodann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Das SEM ist demnach zu Recht in Anwendung von Art. 31a Abs. 1 Bst. b AsylG auf das Asylgesuch des Beschwerdeführers nicht eingetreten. Die übrigen Ausführungen in der Beschwerdeschrift sind nicht geeignet, eine Änderung dieser Einschätzung zu bewirken, weshalb nicht weiter darauf einzugehen ist. Da der Beschwerdeführer nicht im Besitz einer gültigen Aufenthalts- oder Niederlassungsbewilligung ist, wurde die Überstellung nach Kroatien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Nach dem Gesagten ist die Beschwerde abzuweisen und die Verfügung des SEM zu bestätigen.</w:t>
      </w:r>
    </w:p>
    <w:p>
      <w:r>
        <w:rPr>
          <w:b/>
        </w:rPr>
        <w:t>E. 13</w:t>
      </w:r>
    </w:p>
    <w:p>
      <w:r>
        <w:t>Das Beschwerdeverfahren ist mit dem vorliegenden Urteil abgeschlossen. Die Anträge, es sei auf die Erhebung eines Kostenvorschusses zu verzichten und der Beschwerde sei die aufschiebende Wirkung zu erteilen, sind damit gegenstandslos geworden.</w:t>
      </w:r>
    </w:p>
    <w:p>
      <w:r>
        <w:rPr>
          <w:b/>
        </w:rPr>
        <w:t>E. 14.1</w:t>
      </w:r>
    </w:p>
    <w:p>
      <w:r>
        <w:t>Das mit der Beschwerde gestellte Gesuch um Gewährung der unentgeltlichen Prozessführung (Art. 65 Abs. 1 VwVG) ist abzuweisen, da die Begehren gemäss den vorstehenden Erwägungen als aussichtslos zu bezeichnen waren.</w:t>
      </w:r>
    </w:p>
    <w:p>
      <w:r>
        <w:rPr>
          <w:b/>
        </w:rPr>
        <w:t>E. 14.2</w:t>
      </w:r>
    </w:p>
    <w:p>
      <w:r>
        <w:t>Bei diesem Ausgang des Verfahrens sind die 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