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D-8743/2007 vom 26. Mai 2010</w:t>
      </w:r>
    </w:p>
    <w:p>
      <w:r>
        <w:t>Bundesverwaltungsgericht, 2010-05-26, DE</w:t>
      </w:r>
    </w:p>
    <w:p>
      <w:r>
        <w:rPr>
          <w:b/>
        </w:rPr>
        <w:t xml:space="preserve">Quelle: </w:t>
      </w:r>
      <w:r>
        <w:t>https://mcp.opencaselaw.ch/entscheid/bvger_D-8743_2007</w:t>
      </w:r>
    </w:p>
    <w:p>
      <w:r>
        <w:t>FR: TAF D-8743/2007 du 26 mai 2010</w:t>
      </w:r>
    </w:p>
    <w:p>
      <w:r>
        <w:t>IT: TAF D-8743/2007 del 26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auf die Rüge der Verletzung des rechtlichen Gehörs einzugehen, weil die im massgeblichen Zeitpunkt gut 10-jährige Tochter der Beschwerdeführenden nicht zu den ihr widerfahrenen Erlebnissen befragt worden sei; dasselbe gelte für den bald 12-jährigen Sohn. Hierzu ist festzuhalten, dass gemäss dem vom Bundesamt im Internet zugänglich gemachten Handbuch des Asylverfahrens urteilsfähige Kinder selbständig angehört werden und für die Beurteilung, ob ein Kind urteilsfähig sei, vorerst auf die in der Empfangsstelle gemachte Einschätzung abgestellt werden kann. Dabei wird erfahrungsgemäss die Urteilsfähigkeit von Kindern in Bezug auf das Asylverfahren ab etwa vierzehn Jahren in der Regel vermutet (vgl. Handbuch Asylverfahren BFM Kap. F § 4 S. 11). Sodann ist darauf hinzuweisen, dass das BFM die geltend gemachten Entführungsversuche der Tochter nicht in Abrede stellte, sondern die Asylrelevanz der entsprechenden Ereignisse verneinte. Nach dem Gesagten geht der erhobene Einwand fehl, wonach das BFM durch die unterlassene Befragung der Kinder der Beschwerdeführenden den Anspruch auf rechtliches Gehör verletzt haben soll. Nichts zu ihren Gunsten abzuleiten vermögen die Beschwerdeführenden aus dem Umstand, dass die Vorinstanz weder im Asyl- noch im Wegweisungspunkt auf das Kindeswohl eingegangen ist. Zwischen der Einreise in die Schweiz respektive dem Stellen der Asylgesuche und dem Erlass der angefochtenen Verfügung lag lediglich eine Zeitspanne von etwas mehr als zwei Monaten, weshalb sich Ausführungen im vorliegenden Fall zur Frage des Kindeswohls im Sinne der Rechtsprechung als marginal erwiesen respektive der Verzicht auf entsprechende Erwägungen des BFM in der angefochtenen Verfügung nicht zu beanstanden ist (vgl. auch nachstehend E. 6.4.3). Bei dieser Sachlage ist der Antrag um Rückweisung der Sache an die Vorinstanz zur weiteren Sachverhaltsabklärung und anschliessendem neuen Entscheid abzuweisen.</w:t>
      </w:r>
    </w:p>
    <w:p>
      <w:r>
        <w:rPr>
          <w:b/>
        </w:rPr>
        <w:t>E. 4.2</w:t>
      </w:r>
    </w:p>
    <w:p>
      <w:r>
        <w:t>Die Vorinstanz hat in der angefochtenen Verfügung unter Angabe der jeweiligen Fundstellen in den Protokollen die diversen Unglaubhaftigkeitselemente in den Aussagen der Beschwerdeführenden aufgezeigt. Die den Beschwerdeführenden vom BFM vorgeworfenen Unstimmigkeiten halten einer Überprüfung durch das Bundesverwaltungsgericht stand. Ohne im Einzelnen darauf näher einzugehen - die entsprechenden Ausführungen in der Rechtsmitteleingabe erweisen sich hauptsächlich als Behauptungen, Mutmassungen, unbehelfliche Erklärungsversuche oder nachträgliche Anpassungen an den Sachverhalt - ist zur Veranschaulichung im Zusammenhang mit der vom Beschwerdeführer behaupteten politischen Exponiertheit wegen seiner Kadermitgliedschaft bei der im kurdischen Gebiet verbotenen PCDK und den ihm daraus möglicherweise resultierenden (asylrechtlichen) Benachteiligungen bloss festzuhalten, dass die diesbezüglichen Schilderungen als überzeichnet respektive in den Akten keine Stütze findend zu werten sind. So erklärte der Beschwerdeführer anlässlich der direkten Bundesanhörung unter anderem, falls man festgenommen werde, sei man dankbar, wenn man überhaupt rauskomme. An anderer Stelle wiederum gab er im Zusammenhang mit den geltend gemachten kurzfristigen Festnahmen zu Protokoll, im Jahre 2005 sei er ohne Auflagen freigelassen worden und im Januar 2007 habe man ihn "mit Respekt" behandelt und er habe nach ungefähr eineinhalb Stunden - nachdem er eine Art Versprechen unterzeichnet habe - wieder gehen können. Kaum nachvollziehbar erscheint in diesem Kontext weiter die Aussage, wonach auch der Parteichef sowie "Wir ... alle zusammen" (gemeint sind die Kaderleute der PCDK) festgenommen und nur dank Einmischung aus Bagdad freigelassen worden seien. Dass den nordirakischen Behörden die Zusammenhänge einer solchen Vorgehensweise verborgen geblieben wären, respektive sie die entsprechenden Schlussfolgerungen aufgrund eines solchen Vorfalls nicht hätten ziehen können, erstaunt insbesondere unter dem Blickwinkel, dass es sich bei der PCDK doch um eine im Nordirak verbotene Partei handelt, welche ihre Büros in den Zentralirak (Kirkuk, Mosul, Bagdad) verlegen musste, um als legale Organisation von dort aus operieren zu können (vgl. A12/18 S. 10, 11 und 12). Vor dem Hintergrund der kurzen Dauer der jeweiligen Festnahmen sowie der unmissverständlichen Aussage des Beschwerdeführers, in der Zeit nach der ersten Festnahme (2005) und derjenigen im Januar 2007, nie irgendwelche Probleme mit Leuten des Sicherheitsdienstes gehabt zu haben (vgl. A12/18 S. 12), müsste diesen angeblichen Freiheitseinschränkungen ohnehin auch die asylrechtliche Relevanz aufgrund der mangelnden Intensität der Eingriffe abgesprochen werden. Auch vermitteln die Vorbringen des Beschwerdeführers vielmehr den Eindruck einer konstruierten Geschichte, wenn die Behörden über sein angeblich politisches Engagement seit Mai/Juni 2007 Kenntnis gehabt und als erste Massnahme ihm deswegen die Stelle als Schuldirektor gekündigt haben sollen, um ihm für den 1. Oktober 2007 eine andere Stelle als Lehrer in einem kleinen Dorf anzubieten. Hinzukommt, dass der Beschwerdeführer eigenen Angaben zu Folge seit dem Zeitpunkt der Kündigung (31. Juli 2007) bis zur Ausreise (16. August 2007) irgendwelche Probleme mit den heimatlichen Behörden oder Organisationen verneinte (vgl. A12/18 S. 8) und die Versetzung an eine andere Schule wiederholt lediglich als "Erniedrigung" bezeichnete, was aber - in Bestätigung der diesbezüglichen vorinstanzlichen Ausführungen - noch keine individuelle Betroffenheit im Sinne des Asylgesetzes zu bewirken vermag. Die auf Beschwerdestufe in Kopie eingereichten Beweismittel zur Mitgliedschaft in der PCDK sind aufgrund ihrer leichten Manipulierbarkeit ebenfalls nicht geeignet, eine Gefährdung der Beschwerdeführenden aufzuzeigen.</w:t>
      </w:r>
    </w:p>
    <w:p>
      <w:r>
        <w:rPr>
          <w:b/>
        </w:rPr>
        <w:t>E. 4.3</w:t>
      </w:r>
    </w:p>
    <w:p>
      <w:r>
        <w:t>Aus den geltend gemachten Nachstellungen seitens unbekannter Dritter (Entführungsversuche der Tochter, wiederholte Beobachtungen und Verfolgung des Beschwerdeführers in einem Auto) können die Beschwerdeführenden in asylrechtlicher Hinsicht auch nichts zu ihren Gunsten ableiten. Es ist unbestritten, dass der Staat den Beschwerdeführenden anbegehrte Hilfe zuteil kommen liess und eine solche auch im Falle künftiger Ereignisse in Aussicht stellte. Wenn nun die Beschwerdeführenden nicht beabsichtigen, aus welchen Gründen auch immer, staatliche Hilfe bei durch Dritte erwachsenen Benachteiligungen in Anspruch zu nehmen, so ist das die persönliche Angelegenheit der Beschwerdeführenden. Allfällige aus der Unterlassung resultierende negative Konsequenzen haben demzufolge sie zu tragen und können nicht dem Staat zum Vorwurf gemacht werden. Im Übrigen kann in diesem Zusammenhang, zur Vermeidung von Wiederholungen, auf die nicht zu beanstandenden Erwägungen des BFM in der angefochtenen Verfügung verwiesen werden. Mangels näherer Hinweise oder Aufschlüsse für eine asylrelevante Gefährdungssituation der Beschwerdeführenden erübrigen sich weitere Erörterungen.</w:t>
      </w:r>
    </w:p>
    <w:p>
      <w:r>
        <w:rPr>
          <w:b/>
        </w:rPr>
        <w:t>E. 4.4</w:t>
      </w:r>
    </w:p>
    <w:p>
      <w:r>
        <w:t>Zusammenfassend ist festzustellen, dass die Beschwerdeführenden nicht darzutun vermochten, dass sie einer Verfolgung im Sinne von Art. 3 AsylG ausgesetzt waren oder begründete Furcht haben, einer solchen ausgesetzt werden zu können. Sie können daher nicht als Flüchtlinge anerkannt werden. Die Vorinstanz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Schweizerische Flüchtlingshilfe SFH [Hrsg.], Handbuch zum Asyl- und Wegweisungsverfahren, Bern 2009, S. 210 f.).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Auch die allgemeine Menschenrechtssituation im Heimatstaat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vermögen die in der Beschwerde erwähnten Hinweise auf Publikationen von Organisationen wie UNHCR, Amnesty International, ECRE und SFH, insbesondere der zitierte Bericht der SFH vom 22. Mai 2007, nichts zu ändern. Die im erwähnten Urteil vorgenommene Lageeinschätzung basiert auf einer grossen Zahl von Berichten verschiedener Organisationen, darunter auch die SFH und das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w:t>
      </w:r>
    </w:p>
    <w:p>
      <w:r>
        <w:rPr>
          <w:b/>
        </w:rPr>
        <w:t>E. 6.4.3</w:t>
      </w:r>
    </w:p>
    <w:p>
      <w:r>
        <w:t>Die Beschwerdeführenden gehören als Familie mit Kindern zu einer Gruppe, für welche nach der Praxis des Bundesverwaltungsgerichts bei der Feststellung der Zumutbarkeit des Vollzuges grosse Zurückhaltung angebracht ist. In casu ist festzuhalten, dass die Beschwerdeführenden (Eltern) gemäss eigenen Angaben seit der Geburt bis zur Ausreise im Jahr 2007 in Suleimaniya gelebt haben. Beide verfügen über Berufe, die sie während Jahren ausgeübt haben; der Beschwerdeführer zuletzt als Schuldirektor einer Handelsschule und die Beschwerdeführerin als Buchhalterin. Die noch an die Eltern gebundenen Kinder waren im Zeitpunkt der Einreise rund 11 ½ (Jewar) respektive 10 (Jaliane) Jahre alt und in ihrem bloss etwas mehr als zweieinhalb Jahre dauernden Aufenthalt in der Schweiz kann nicht eine Entwurzelung in Bezug auf das Heimatland erblickt werden, was einen Vollzug der Wegweisung unter dem Gesichtspunkt des Kindeswohls als unzumutbar erscheinen liesse (vgl. BVGE 2009/28 E. 9.3 S. 367 ff.). Ferner können die Beschwerdeführenden im Falle einer Rückkehr auf ein umfangreiches familiäres Beziehungsnetz zurückgreifen (A1/9 S. 3 und A2/9 S. 3), das ihnen bei allfälligen Anfangsschwierigkeiten unterstützend zur Seite stehen und einer Reintegration förderlich sein dürfte. In diesem Zusammenhang ist ferner darauf hinzuweisen, dass allfällige wirtschaftliche Schwierigkeiten, wie beispielsweise eine hohe Arbeitslosigkeit, nach der weiterhin gültigen Rechtsprechung der ehemaligen ARK keine existenzbedrohende Situation darstellen, welche den Vollzug der Wegweisung in den Heimatstaat als unzumutbar erscheinen lassen (EMARK 2003 Nr. 24 E. 5.e S. 159). In Berücksichtigung sämtlicher für das vorliegende Verfahren relevanter respektive begünstigender Aspekte ist der Vollzug der Wegweisung sowohl vor dem Hintergrund der allgemeinen Lage im Nordirak als auch in individueller Hinsicht - Wegweisungshindernisse individueller Art werden von den Beschwerdeführenden keine geltend gemacht - als zumutbar zu erachten.</w:t>
      </w:r>
    </w:p>
    <w:p>
      <w:r>
        <w:rPr>
          <w:b/>
        </w:rPr>
        <w:t>E. 6.5</w:t>
      </w:r>
    </w:p>
    <w:p>
      <w:r>
        <w:t>Die Beschwerdeführenden sind im Besitz gültiger Reisepässe und es obliegt ihnen, sich bei der zuständigen Vertretung des Heimatstaates die für eine Rückkehr allenfalls zusätzlichen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und 5 VwVG). Da die Beschwerdeführenden indes gemäss den vorliegenden Akten aktuell nicht erwerbstätig sind, kann davon ausgegangen werden, dass sie prozessual bedürftig sind. Gleichzeitig müssen die Beschwerdebegehren als im Zeitpunkt der Einreichung als nicht aussichtslos bezeichnet werden. Demnach ist das Gesuch um Gewährung der unentgeltlichen Rechtspflege im Sinne von Art. 65 Abs. 1 VwVG gutzuheissen und auf die Erhebung von Verfahrenskosten zu verzichten. Trotz Unterliegens der Beschwerdeführenden werden demzufolge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