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D-873/2013 vom 29. Mai 2013</w:t>
      </w:r>
    </w:p>
    <w:p>
      <w:r>
        <w:t>Bundesverwaltungsgericht, 2013-05-29, DE</w:t>
      </w:r>
    </w:p>
    <w:p>
      <w:r>
        <w:rPr>
          <w:b/>
        </w:rPr>
        <w:t xml:space="preserve">Quelle: </w:t>
      </w:r>
      <w:r>
        <w:t>https://mcp.opencaselaw.ch/entscheid/bvger_D-873_2013</w:t>
      </w:r>
    </w:p>
    <w:p>
      <w:r>
        <w:t>FR: TAF D-873/2013 du 29 mai 2013</w:t>
      </w:r>
    </w:p>
    <w:p>
      <w:r>
        <w:t>IT: TAF D-873/2013 del 29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Vorbehalten bleibt die Einhaltung des Abkommens vom 28. Juli 1951 über die Rechtstellung der Flüchtlinge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zeigte in der angefochtenen Verfügung auf, weshalb es die Vorbringen des Beschwerdeführers als zu wenig detailliert und differenziert dargelegt erachtete. Aufgrund des vom Beschwerdeführer einfach gehaltenen Sachverhalts, der nach Auffassung des BFM erfahrungsgemäss unvereinbar mit der um ein Vielfaches komplexeren Wirklichkeit sei, gelangte die Vorinstanz zum Schluss, dass dessen Schilderungen insgesamt den Anforderungen an die Glaubhaftigkeit gemäss Art. 7 AsylG nicht zu genügen vermöchten. Ebenfalls begründete es, weshalb das erwähnte Ereignis im Jahre 2008 (Tod von 16 Kameraden bei einer Fahrzeugexplosion) sowie die allgemein gefährlichen Situation während der Dienstzeit im Heimatland nicht unter Art. 3 AsylG fielen. Das Bundesverwaltungsgericht sieht nach Überprüfung der Akten keine Veranlassung, die vom BFM gezogenen Schlussfolgerungen zu beanstanden. Zur Vermeidung von Wiederholungen, kann auf die zutreffenden Erwägungen in der angefochtenen Verfügung verwiesen werden (vgl. auch Bst. B hiervor).</w:t>
      </w:r>
    </w:p>
    <w:p>
      <w:r>
        <w:rPr>
          <w:b/>
        </w:rPr>
        <w:t>E. 4.2</w:t>
      </w:r>
    </w:p>
    <w:p>
      <w:r>
        <w:t>Keine Änderung in der Frage der Asylgewährung bewirken die Ausführungen des Beschwerdeführers in der Rechtsmitteleingabe. Der von der Vorinstanz festgestellte Sachverhalt wird lediglich wiederholt und mit der Behauptung verbunden, seine Vorbringen würden - entgegen der vorinstanzlichen Begründung - gesamthaft gesehen ein stimmiges Bild vermitteln. Substanzielles respektive stichhaltige Gründe, welche die Argumentation des BFM widerlegen könnten, werden nicht vorgebracht. Mithin wird keine Klärung in die dem Beschwerdeführer vorgeworfenen Unglaubhaftigkeitselemente hineingebracht. Insbesondere mit dem blossen Verweis auf die einzelnen vom Beschwerdeführer in Monatseinheiten angegebenen Protokollstellen der direkten Bundesanhörung werden die von ihm geschilderten Geschehnisse noch nicht zu derart konkreten und aufschlussreichen Angaben, als dass sie dadurch als glaubhaft gemacht erscheinen. Die Begründung des Beschwerdeführers in diesem Zusammenhang, er habe sehr wohl konkrete Angaben zum Zeitpunkt und der Dauer der Ereignisse machen können, auch wenn die Angaben vielleicht nicht zum Teil auf den Tag genau gewesen seien und er gewisse Vorgänge zeitlich nicht mehr genau habe zuordnen können, erweist sich in dieser pauschalisierenden Art und Weise nicht überzeugend. Der Einwand des Beschwerdeführers, wonach er seine persönliche Betroffenheit in der behördlichen Befragungssituation nicht zum Ausdruck gebracht habe, sondern möglichst sachlich und rational geblieben sei, ist sodann als unbehelflicher Erklärungsversuch zu werten. Es ist nicht einzusehen, dass der Beschwerdeführer ausgerechnet der Behörde, bei der er um Schutz nachsucht, nicht sämtliche für die Ausreise relevanten Gründe umfassend darlegt, da er bei Nichtangabe (Verschweigen) massgebender, den Sachverhalt vervollkommender Begründungselemente Gefahr laufen könnte, unverstanden zu bleiben respektive eine negative Beurteilung seiner Asylgründe hinzunehmen.</w:t>
      </w:r>
    </w:p>
    <w:p>
      <w:r>
        <w:rPr>
          <w:b/>
        </w:rPr>
        <w:t>E. 4.3</w:t>
      </w:r>
    </w:p>
    <w:p>
      <w:r>
        <w:t>Ohne weiter auf die Unglaubhaftigkeitselemente in den Darlegungen des Beschwerdeführers einzugehen, ist in casu festzustellen, dass eine Dienstpflicht - wie vom BFM in der angefochtenen Verfügung zutreffend ausgeführt - in den der Kurdischen Regionalregierung unterstehenden Provinzen Dohuk, Erbil und Suleimaniya nicht existiert. Die entsprechenden Erkenntnisse des BFM stützen sich dabei auf öffentlich zugängliche Quellen, deren Sichtung, Einordnung und Bewertung ein wesentlicher Bestandteil der Alltagsarbeit von speziell dafür ausgebildeten Fachpersonen der Vorinstanz bilden. Die unter anderem Eingang in amtsinterne Länderanalysen findenden Ergebnisse der entsprechend zusammengetragenen und ausgewerteten Informationen sind von daher gesehen, als solche nicht offenzulegen. Die vom Beschwerdeführer in der Rechtsmitteleingabe geübte Kritik, es sei nicht ersichtlich, worauf die Erkenntnisse des BFM hinsichtlich einer nicht existierenden Dienstpflicht bei den Peshmerga basieren würden, ist aber insofern nicht von der Hand zu weisen, als dass das Bundesamt gehalten gewesen wäre, seine (ausreichende) Begründung in der angefochtenen Verfügung in diesem Zusammenhang (I/S. 3 und 4) mit der entsprechenden Quellenangabe (Stellungnahme des UNHCR vom 28. Februar 2006 "Peshmerga / Desertion") zu versehen. Allein diese Unterlassung verunmöglichte jedoch eine sachgerechte Anfechtung nicht, weshalb von einer Verletzung der Begründungspflicht nicht gesprochen werden kann. Der Vollständigkeit halber kann in diesem Zusammenhang zudem auf eine Publikation neueren Datums verwiesen werden, welche die Erwägungen des BFM vollumfänglich bestätigt (Report on Joint Finnish-Swiss Fact-Finding Mission to Amman and the Kurdish Regional Government (KRG) Area, May 10-22, 2011, 5.1.1. Peshmerga, S. 27). Ohnehin gilt vorliegend festzuhalten, dass nähere Hinweise oder Aufschlüsse für eine dem Beschwerdeführer aus seiner Arbeitsvertragsverletzung (Desertion als Peshmerga) resultierende (asyl-) relevante Gefährdungssituation unterbleiben. Er unterlässt es, darzutun, inwiefern gerade ihm daraus ernsthafte Nachteile asylrelevanten Ausmasses entstanden sind beziehungsweise entstehen sollten und lässt es bei der Behauptung bewenden, wonach es in seinem Fall auf jeden Fall anders gewesen sei. In diesem Zusammenhang ist der Vollständigkeit halber zusätzlich auf seine Aussagen anlässlich der beiden Befragungen hinzuweisen, wo er jeweils mehr oder weniger übereinstimmend zu Protokoll gab, in der Zeit seiner 15-tägigen Inhaftierung lediglich wiederholt zur Einhaltung des Arbeitsvertrages aufgefordert worden zu sein (Protokoll EVZ S. 6; Protokoll Bundesanhörung S. 6, 12 und 13). Seine in der Beschwerde geäusserten Befürchtungen für den Fall einer Rückkehr ins Heimatland müssen unter diesem Blickwinkel als überzeichnet und mutmassend qualifiziert werden. Nicht ausser Acht gelassen werden darf der Umstand, dass der Beschwerdeführer - ausser den geltend gemachten Militärdienst-Problemen - irgendwelche Schwierigkeiten mit den heimatlichen Behörden ausdrücklich verneinte (Protokoll EVZ S. 6; Protokoll Bundesanhörung S. 14). In Würdigung sämtlicher für das vorliegende Verfahren relevanter Umstände gelangt das Bundesverwaltungsgericht zum Schluss, dass die Vorbringen des Beschwerdeführers weder den Anforderungen an die Glaubhaftigkeit gemäss Art. 7 AsylG noch denjenigen an die Flüchtlingseigenschaft zu genügen vermögen. Bei dieser Sachlage erübrigen sich weitere Erörterungen. Insbesondere können Ausführungen zu Art 3 Abs. 3 AsylG unterbleiben.</w:t>
      </w:r>
    </w:p>
    <w:p>
      <w:r>
        <w:rPr>
          <w:b/>
        </w:rPr>
        <w:t>E. 4.4</w:t>
      </w:r>
    </w:p>
    <w:p>
      <w:r>
        <w:t>Zusammenfassend ergibt sich,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Sicherheits- und Menschenrechtslage in den drei Nordprovinzen des Irak (Dohuk, Erbil und Suleimaniya) lässt den Wegweisungsvollzug des Be­schwerdeführers dorthin im heutigen Zeitpunkt nicht als unzulässig erscheinen. Die blossen Zitate der einschlägigen Gesetzesartikel in diesem Zusammenhang in der Beschwerde sind nicht geeignet, eine andere Beurteilung zu bewirken.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Das Bundesverwaltungsgericht ist im Grundsatzurteil vom 14. März 2008 (BVGE 2008/5) aufgrund einer umfassenden Beurteilung der Si­tuation in den nordirakischen Provinzen Dohuk, Suleimaniya und Erbil - entgegen der in der Beschwerde vertretenen Auffassung, welche sich letztlich mit der blossen Wiedergabe der einschlägigen Gesetzesartikel zum Wegweisungsvollzug begnügt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auch seit Pulikation des erwähnten Urteils nicht verschlechtert und in den Berichten staatlicher und nichtstaatlicher Organisationen sowie des UN-Sicher­heitsrats wird eine insgesamt stabile Situation beschrieben (vgl. zur aktuellen Lageeinschätzung durch das Bundesverwaltungsgericht unter anderen die Urteile E-5424/2010 vom 26. Juni 2012 E. 7.3.2, E-4673/2009 vom 24. Mai 2012 E. 4.2.2, D-7368/2010 vom 8. Februar 2012 E. 8.4.3).</w:t>
      </w:r>
    </w:p>
    <w:p>
      <w:r>
        <w:rPr>
          <w:b/>
        </w:rPr>
        <w:t>E. 6.4.3</w:t>
      </w:r>
    </w:p>
    <w:p>
      <w:r>
        <w:t>Der aus E._______ in der Provinz Dohuk stammende, heute beinahe (Alter), ledige und gesunde Beschwer­deführer verfügt gemäss seinen Angaben über eine (Anzahl Jahre) Schulbildung und spricht den von den Kurden im Irak gesprochenen Badini-Dialekt. Im Falle einer Rückkehr in seine Heimatprovinz kann er auf ein umfangreiches familiäres und verwandschaftliches Beziehungsnetz dort zurückgreifen (Eltern, neun Geschwister, Onkel, Tanten), was eine Reintegration zudem erleichtert. Zugute kommen dürften dem Beschwerdeführer ausserdem die von ihm in der Schweiz während seines Aufenthalts gesammelten Erfahrungen. Schliesslich ist darauf hinzuweisen, dass der Beschwerdeführer zur Überbrückung allfälliger Anfangsschwierigkeiten beim BFM Rückkehrhilfe beantragen kann. In Berücksichtigung sämtlicher für das vorliegende Verfahren relevanter Um­stände erweist sich der Vollzug der Wegweisung im Sinne der oben skizzierten Praxis daher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8.Mit Zwischenverfügung vom 7. März 2013 wurde das Gesuch um Ge­währung der unentgeltlichen Rechtspflege im Sinne von Art. 65 Abs. 1 VwVG - unter Vorbehalt einer nachträglichen Veränderung der finanziellen Verhältnisse des Beschwerdeführers - gutgeheissen und in Abänderung der Zwischenverfügung vom 21. Februar 2013 auf die Erhebung eines Kostenvorschusses verzichtet (vgl. Bst. D und F hiervor).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