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D-872/2014 vom 10. April 2014</w:t>
      </w:r>
    </w:p>
    <w:p>
      <w:r>
        <w:t>Bundesverwaltungsgericht, 2014-04-10, DE</w:t>
      </w:r>
    </w:p>
    <w:p>
      <w:r>
        <w:rPr>
          <w:b/>
        </w:rPr>
        <w:t xml:space="preserve">Quelle: </w:t>
      </w:r>
      <w:r>
        <w:t>https://mcp.opencaselaw.ch/entscheid/bvger_D-872_2014</w:t>
      </w:r>
    </w:p>
    <w:p>
      <w:r>
        <w:t>FR: TAF D-872/2014 du 10 avril 2014</w:t>
      </w:r>
    </w:p>
    <w:p>
      <w:r>
        <w:t>IT: TAF D-872/2014 del 10 aprile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Die Beschwerdeführerin macht geltend, am 10. März 2009 durch einen Soldaten beziehungsweise Polizisten erheblich verletzt worden zu sein. Sie war aber nicht in der Lage, die Umstände dieser Verletzung glaubhaft zu machen. Es mag zwar möglicherweise zutreffen, dass im somalischen Kontext der Unterschied zwischen Polizei und Armee sprachlich nicht immer deutlich gemacht wird. Unbesehen dieser Sachlage fällt vorab auf, dass die Schilderungen zu den angeblichen Vorfällen kaum Substanz aufweisen und Realkennzeichen weitestgehend vermissen lassen (A 9/13 Antworten 54 ff.). Dass die nicht übereinstimmenden Angaben zu der Anzahl der vermieteten Zimmer beziehungsweise der Mieterschaft gemäss Beschwerdevorbringen auf eine "Verwechslung" zurückzuführen seien, überzeugt schon insofern nicht, als die Beschwerdeführerin beide Protokolle als korrekt visierte und jeweils vermerkte, den Dolmetscher gut verstanden zu haben. Ferner gab sie zur Verwandtschaft in C._______ an, "ebenda" würden ihre beiden Brüder wohnen (A 3/11 S. 5). Dass ihr zweiter Bruder beim angeblichen Vorfall vom 10. März 2009 getötet worden sein soll, ist mithin auch in diesem Lichte besehen sehr fraglich. Schliesslich gab sie zum einen an, die Durchsuchung des fraglichen Zimmers nicht gesehen zu haben; zum anderen machte sie aber geltend, alle Koranschüler seien durchsucht worden (A 9/13 Antworten 98 f.; A 3/11 S. 8). Diese logische Unstimmigkeit bestätigt die erheblichen Zweifel am angeblichen Vorfall. Das eingereichte Beweismittel ist - wie vom BFM in der Vernehmlassung zutreffend festgehalten - offensichtlich nicht beweistauglich für die geltend gemachten Umstände der Verletzung. Stichhaltige Beschwerdeargumente für eine andere Sichtweise fehlen.</w:t>
      </w:r>
    </w:p>
    <w:p>
      <w:r>
        <w:rPr>
          <w:b/>
        </w:rPr>
        <w:t>E. 4.2</w:t>
      </w:r>
    </w:p>
    <w:p>
      <w:r>
        <w:t>Der Beschwerdeführerin ist es demnach nicht gelungen, nachzu­wei­sen oder glaub­haft zu machen, dass sie in Somalia aktuell be­grün­de­te Furcht vor ernsthaf­ten Nachteilen im Sinne von Art. 3 Abs. 2 AsylG ha­ben muss. Die diesbezüglichen Erwägungen des BFM sind ent­gegen den Be­schwerdevorbringen nicht zu be­an­stan­den. Es er­übrigt sich, auf weitere Be­schwerdevor­bringen detaillierter ein­zu­gehen, weil sie am Er­geb­nis nichts än­dern können. Das BFM hat das Asylgesuch zu Recht abge­lehnt.</w:t>
      </w:r>
    </w:p>
    <w:p>
      <w:r>
        <w:rPr>
          <w:b/>
        </w:rPr>
        <w:t>E. 4.4</w:t>
      </w:r>
    </w:p>
    <w:p>
      <w:r>
        <w:t>Lehnt das Bundesamt das Asylgesuch ab oder tritt es darauf nicht ein, so verfügt es in der Regel die Wegweisung aus der Schweiz und ordnet den Vollzug an; es berücksichtigt dabei den Grundsatz der Einheit der Familie (Art. 44 AsylG).</w:t>
      </w:r>
    </w:p>
    <w:p>
      <w:r>
        <w:rPr>
          <w:b/>
        </w:rPr>
        <w:t>E. 4.5</w:t>
      </w:r>
    </w:p>
    <w:p>
      <w:r>
        <w:t>Die Beschwerdeführerin verfügt weder über eine ausländerrechtliche Aufenthaltsbewilligung noch über einen Anspruch auf Erteilung einer solchen. Die Wegweisung wurde demnach zu Recht angeordnet (Art. 44 AsylG; BVGE 2009/50 E. 9 m.w.H.).</w:t>
      </w:r>
    </w:p>
    <w:p>
      <w:r>
        <w:rPr>
          <w:b/>
        </w:rPr>
        <w:t>E. 4.6</w:t>
      </w:r>
    </w:p>
    <w:p>
      <w:r>
        <w:t>Die Beschwerdeführerin wurde vom BFM in der angefochtenen Verfü­gung wegen Unzumutbarkeit des Wegweisungsvollzugs vorläufig in der Schweiz aufgenommen, weshalb sich weitere Erörterungen erübrigen.</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