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D-8727/2010 vom 16. Juni 2011</w:t>
      </w:r>
    </w:p>
    <w:p>
      <w:r>
        <w:t>Bundesverwaltungsgericht, 2011-06-16, DE</w:t>
      </w:r>
    </w:p>
    <w:p>
      <w:r>
        <w:rPr>
          <w:b/>
        </w:rPr>
        <w:t xml:space="preserve">Quelle: </w:t>
      </w:r>
      <w:r>
        <w:t>https://mcp.opencaselaw.ch/entscheid/bvger_D-8727_2010</w:t>
      </w:r>
    </w:p>
    <w:p>
      <w:r>
        <w:t>FR: TAF D-8727/2010 du 16 juin 2011</w:t>
      </w:r>
    </w:p>
    <w:p>
      <w:r>
        <w:t>IT: TAF D-8727/2010 del 16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im Wesentlichen aus, die Beschwerdeführerin sei gekommen, um bei ihrem Sohn zu leben. Sie sei krank und alleine gewesen. Ein Erdbeben habe ihr Haus zerstört. Ausserdem hätten sie der Tod der entfernten Verwandten B._______, die mehrere Jahre bei ihr gelebt habe, und gesundheitliche Probleme belastet. Diese Probleme seien jedoch lediglich Ausfluss der schwierigen Lebensbedingungen und folglich nicht asylbeachtlich.</w:t>
      </w:r>
    </w:p>
    <w:p>
      <w:r>
        <w:rPr>
          <w:b/>
        </w:rPr>
        <w:t>E. 4.2</w:t>
      </w:r>
    </w:p>
    <w:p>
      <w:r>
        <w:t>Die Beschwerdeführerin hielt dem im Wesentlichen entgegen, B._______, deren Name in der Verfügung falsch geschrieben worden sei, sei nicht lediglich eine entfernte Verwandte von ihr, sondern ihre angenommene Tochter nach tschetschenischem Brauch und in ihrem Haus zusammen mit ihrem Sohn aufgewachsen. Wegen deren Ermordung habe sie Probleme bekommen. Die Kadyrov-Leute hätten alles verheimlichen wollen und hätten sie als ihre Mutter enorm unter Druck gesetzt. Als der Jahrestag der Ermordung gekommen sei, sei es immer schlimmer geworden. Wegen dem Ausland hätten sie es sich vielleicht nicht leisten können, auch sie zum Schweigen zu bringen, doch sie hätten alles getan, damit sie nicht mehr in Tschetschenien leben könne. Zur Stützung ihrer Vorbringen reichte die Beschwerdeführerin erneut den Bericht bezüglich der ambulanten Behandlung vom 25. Oktober 2010 im Spital Y._______ und einen provisorischen Austrittsbericht derselben Institution vom 23. November 2010 nach einer Hospitalisation vom 6. bis zum 23. November 2010 zu den Akten.</w:t>
      </w:r>
    </w:p>
    <w:p>
      <w:r>
        <w:rPr>
          <w:b/>
        </w:rPr>
        <w:t>E. 5.1</w:t>
      </w:r>
    </w:p>
    <w:p>
      <w:r>
        <w:t>Entsprechend der Lehre und Praxis ist für die Anerkennung der Flüchtlingseigenschaft erforderlich, dass die asylsuchende Person ernsthafte Nachteile von bestimmter Intensität erlitten hat, beziehungsweisesolche im Fall einer Rückkehr in den Heimatsaat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S. 154 f. und zur Publikation vorgesehenes Urteil des Bundesverwaltungsgerichts E-6562/2007 vom 1. September 2010 E. 2 beide mit weiteren Hinweisen).</w:t>
      </w:r>
    </w:p>
    <w:p>
      <w:r>
        <w:rPr>
          <w:b/>
        </w:rPr>
        <w:t>E. 5.2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zur Publikation vorgesehenes Urteil des Bundesverwaltungsgerichts E-6562/2007 vom 1. September 2010 E. 2.5 mit weiteren Hinweisen).</w:t>
      </w:r>
    </w:p>
    <w:p>
      <w:r>
        <w:rPr>
          <w:b/>
        </w:rPr>
        <w:t>E. 5.3</w:t>
      </w:r>
    </w:p>
    <w:p>
      <w:r>
        <w:t>Nach dem Gesagten sind die Vorbringen der Beschwerdeführerin als nicht asylrelevant zu beurteilen. Zwar wird das enge Verhältnis der Beschwerdeführerin zur bekannten ermordeten Journalistin B._______ nicht in Abrede gestellt. Dass ihr daraus aslyrechtlich relevante Nachteile entstanden wären, kann den Akten jedoch nicht entnommen werden. Zwar führte der Sohn der Beschwerdeführerin in seinem Schreiben vom 20. Juli 2010 aus, die Beschwerdeführerin werde von den Kadyrov-Leuten verfolgt. Dies bestätigte die Beschwerdeführerin selber in ihrem Schreiben vom 18. August 2010 jedoch nicht und führte vielmehr aus, sie sei ein Jahr nach der Ermordung von B._______ von Menschenrechtsorganisationen mit Fragen bedrängt worden. Deshalb habe sie Angst gehabt, sie, womit sie vermutlich die Regierungsleute meinte, könnten sie umbringen. Da sie aber die Organisationen offenbar abwimmelte und deren Fragen nicht beantwortete, ist auch nicht davon auszugehen, dass sie von der Regierung als Gefahr wahrgenommen wurde. Somit ist ihre Angst als objektiv nicht begründet zu beurteilen. Während der Befragung und der Anhörung in der Schweiz machte die Beschwerdeführerin denn auch keine asylrechtlich relevanten Nachteile geltend. In erster Linie gab sie an, aufgrund ihrer Hilflosigkeit als alte Frau und ihrer gesundheitlichen Probleme zu ihrem Sohn in die Schweiz gekommen zu sein. Bezüglich der Ermordung von B._______ führte sie lediglich aus, sie sei von Journalisten und anderen Leuten Tag und Nacht belästigt worden, sodass sie zum Teil nicht mehr zu Hause habe schlafen können und schliesslich ausgereist sei. Ansonsten konnte sie gemäss ihren mündlichen Ausführungen und auch dem Schreiben vom 18. August 2010 den Umständen entsprechend unbehelligt in Tschetschenien leben. Wenn sie nun auf Beschwerdeebene geltend macht, die Leute von Kadyrov hätten sie enorm unter Druck gesetzt und dies sei seit dem Jahrestag der Ermordung immer schlimmer geworden, so wirkt dies nachgeschoben und somit unglaubhaft, zumal sie hierzu weiterhin keine substantiierten Ausführungen macht, welche auf asylrechtlich relevante Nachteile schliessen lassen würden. Zudem ist wenig wahrscheinlich, dass sie als (...)-jährige Frau von den Kadyrov Leuten tatsächlich als Gefahr gesehen und in asylrechtlich relevanter Weise unter Druck gesetzt worden sein soll, zumal ihr Name im Zusammenhang mit B._______ zumindest in den ausländischen Medien nicht erscheint. Vor diesem Hintergrund muss auch eine Furcht vor allfälliger zukünftiger Verfolgung als nicht begründet beurteilt werden.</w:t>
      </w:r>
    </w:p>
    <w:p>
      <w:r>
        <w:rPr>
          <w:b/>
        </w:rPr>
        <w:t>E. 5.4</w:t>
      </w:r>
    </w:p>
    <w:p>
      <w:r>
        <w:t>Das BFM hat das Asylgesuch der Beschwerdeführerin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vgl. BVGE 2009/50 E. 9 S. 733).</w:t>
      </w:r>
    </w:p>
    <w:p>
      <w:r>
        <w:rPr>
          <w:b/>
        </w:rPr>
        <w:t>E. 6.3</w:t>
      </w:r>
    </w:p>
    <w:p>
      <w:r>
        <w:t>Da die Beschwerdeführerin mit Verfügung vom 29. November 2010 in der Schweiz vorläufig aufgenommen wurde, erübrigen sich Ausführungen zur Zulässigkeit, Zumutbarkeit und Möglichkeit des Vollzugs der Wegweisung.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der Beschwerdeführerin aufzuerlegen (Art. 63 Abs. 1 VwVG), auf insgesamt Fr. 600. - festzusetzen (Art. 1 - 3 des Reglements vom 21. Februar 2008 über die Kosten und Entschädigungen vor dem Bundesverwaltungsgericht [VGKE, SR 173.320.2]) und mit dem am 20. Januar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