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D-8723/2007 vom 31. Oktober 2008</w:t>
      </w:r>
    </w:p>
    <w:p>
      <w:r>
        <w:t>Bundesverwaltungsgericht, 2008-10-31, DE</w:t>
      </w:r>
    </w:p>
    <w:p>
      <w:r>
        <w:rPr>
          <w:b/>
        </w:rPr>
        <w:t xml:space="preserve">Quelle: </w:t>
      </w:r>
      <w:r>
        <w:t>https://mcp.opencaselaw.ch/entscheid/bvger_D-8723_2007</w:t>
      </w:r>
    </w:p>
    <w:p>
      <w:r>
        <w:t>FR: TAF D-8723/2007 du 31 octobre 2008</w:t>
      </w:r>
    </w:p>
    <w:p>
      <w:r>
        <w:t>IT: TAF D-8723/2007 del 31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ausgeführt, der Beschwerdeführer sei nicht der Kopf der Hisbollah gewesen und habe auch nicht deren operativer Leitung angehört, sondern als Sicherheitsverantwortlicher lediglich untergeordnete Arbeiten erledigt. Er habe zu Protokoll gegeben, dabei Fahrzeuge und Menschen überprüft zu haben. Bezüglich der Bombardierung des Hauses der Familie habe er erklärt, eine Rauch- und Staubsäule gesehen zu haben. Dazu würde es nicht mehr zu sagen geben, zumal dies auch die Bilder seien, die bleiben, wenn man die Nachrichten im Fernsehen sehe. Die Angst und die Panik in einem solchen Moment könne man nicht beschreiben. Dass der Beschwerdeführer das Datum des Angriffs auf Mamroun Rass nicht genau gewusst habe, sei nicht massgeblich, zumal Daten für Menschen in Not nicht die gleiche Bedeutung hätten wie für uns. Im Zusammenhang mit den eingereichten Beweismitteln habe die Vorinstanz nicht in Abrede gestellt, dass die Familie durch den Angriff auf (Ort) einen Schaden erlitten habe. Tatsache sei, dass sie dabei ihr Heim verloren habe (vgl. Beschwerde, S. 2-4).</w:t>
      </w:r>
    </w:p>
    <w:p>
      <w:r>
        <w:rPr>
          <w:b/>
        </w:rPr>
        <w:t>E. 4.2</w:t>
      </w:r>
    </w:p>
    <w:p>
      <w:r>
        <w:t>Eine Überprüfung der Akten ergibt, dass sich die Erwägungen in der angefochtenen Verfügung als zutreffend erweisen, soweit sie die auf der angeblichen Tätigkeit des Beschwerdeführers für die Hisbollah beruhenden Verfolgungsvorbringen betreffen (vgl. Sachverhalt, Bst. B). Demgegenüber sind die Einwände in der Beschwerde nicht geeignet, daran etwas zu ändern. So sind die Schilderungen des Beschwerdeführers seiner angeblichen langjährigen Tätigkeiten für die Hisbollah in der Tat derart oberflächlich ausgefallen, dass sie nicht den Eindruck erwecken, von einer Person zu stammen, welche diese Funktionen tatsächlich ausgeübt hat. Daran vermag nichts zu ändern, dass es sich dabei nicht um Führungsaufgaben, sondern um untergeordnete Arbeiten gehandelt habe. Dasselbe gilt auch in Bezug auf die Schilderungen des Bombenanschlags auf das Haus, in welchem der Beschwerdeführer mit seiner Familie gewohnt habe, und die Situation im Quartier zu dem von ihm geltend gemachten Zeitpunkt der Ausreise aus dem Libanon. Allein aus der Tatsache, wonach gemäss den eingereichten Beweismitteln ein Grundstück im Besitz der Familie im Juli 2006 durch einen israelischen Angriff beschädigt wurde, lässt sich noch keine asylrelevante Verfolgung des Beschwerdeführers ableiten, umso weniger, als laut der diesbezüglichen Bescheinigung der das Grundstück betreffende Verkaufsvertrag am 13. September 2006 eingetragen wurde, und dieses demnach offensichtlich erst nach dem Angriff in den Besitz der beiden im Dokument erwähnten Personen überging.</w:t>
      </w:r>
    </w:p>
    <w:p>
      <w:r>
        <w:rPr>
          <w:b/>
        </w:rPr>
        <w:t>E. 4.3</w:t>
      </w:r>
    </w:p>
    <w:p>
      <w:r>
        <w:t>Die Beschwerde äussert sich mit keinem Wort dazu, weshalb der Beschwerdeführer wenige Tage, nachdem er am 10. Oktober 2006 in der Schweiz um Asyl nachgesucht hatte, ohne Ankündigung spurlos verschwand, und erst nahezu ein Jahr später mit der Absicht wieder auftauchte, sein Asylverfahren fortzusetzen. Ein solches Verhalten entspricht in keiner Weise demjenigen einer tatsächlich in asylrelevanter Weise verfolgten Person, welche auf den Schutz durch einen ausländischen Staat angewiesen, sondern verstärkt die Zweifel an den geltend gemachten Verfolgungsvorbringen. Eine Überprüfung der Akten ergibt, dass sich Erwägungen in der vorinstanzlichen Verfügung auch unter diesem Gesichtspunkt als zutreffend erweisen, weshalb darauf an dieser Stelle zwecks Vermeidung von Wiederholungen verwiesen wird (vgl. Sachverhalt, Bst. B).</w:t>
      </w:r>
    </w:p>
    <w:p>
      <w:r>
        <w:rPr>
          <w:b/>
        </w:rPr>
        <w:t>E. 4.4</w:t>
      </w:r>
    </w:p>
    <w:p>
      <w:r>
        <w:t>Nach dem Gesagten gelingt es dem Beschwerdeführer nicht, asylrelevante Verfolgungsvorbringen glaubhaft dazutun. Aufgrund der vorstehenden Erwägungen erübrigt es sich, auf die weiteren Ausführungen in der Beschwerde einzugehen, weil sie am Ergebnis nichts ändern können. Zusammenfassend ergibt sich, dass die Vorbringen des Beschwerdeführers den Anforderungen an die Glaubhaftigkeit nicht genügen. Das Asylgesuch wurde vom Bundesamt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dessen Ehefrau lediglich im Besitz einer Aufenthaltsbewilligung B ist,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Beschwerführers in seinen Heimatstaat ist demnach unter dem Aspekt von Art. 5 AsylG rechtmässig.</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ff.).Dies ist ihm unter Hinweis auf die Ausführungen in Erwägung 4 nicht gelungen. Auch die allgemeine Menschenrechtssituation im Libanon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 allgemeine Lage im Libanon hat sich seit Beendigung des Krieges mit Israel im Jahre 2006 wieder stabilisiert. Heute herrscht dort kein Krieg, Bürgerkrieg oder eine Situation allgemeiner Gewalt, aufgrund derer die Zivilbevölkerung als konkret gefährdet bezeichnet werden müsste. Aus den Akten ergeben sich auch keine Anhaltspunkte, die darauf schliessen liessen, der Beschwerdeführer gerate im Falle der Rückkehr in den Libanon aus individuellen Gründen wirtschaftlicher, sozialer oder gesundheitlicher Natur in eine existenzbedrohende Situation. Er ist von Beruf (...). Seine Eltern, beiden Schwestern sowie vier seiner Brüder sind nach wie vor im Libanon wohnhaft. Unter diesen Voraussetzungen wird es ihm möglich sein, sich in seinem Heimatstaat eine wirtschaftliche Existenz aufzubauen. Angesichts der gesamten Umstände kann der Vollzug der Wegweisung - entgegen der in der Rechtsmitteleingabe vertretenen Auffassung - auch als zumutbar bezeichnet werden.</w:t>
      </w:r>
    </w:p>
    <w:p>
      <w:r>
        <w:rPr>
          <w:b/>
        </w:rPr>
        <w:t>E. 6.4</w:t>
      </w:r>
    </w:p>
    <w:p>
      <w:r>
        <w:t>Die bisherigen Bestimmungen betreffend vorläufige Aufnahme infolge einer schwerwiegenden persönlichen Notlage (Art. 14a Abs. 4bis ANAG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Im vorliegenden Fall wären indes bereits die zeitlichen Anforderungen für die Anwendung von Art. 14 Abs. 2 AsylG nicht gegeben, hält sich der Beschwerdeführer doch erst seit September 2006, mithin seit weniger als den nunmehr erforderlichen fünf Jahren, in der Schweiz auf.</w:t>
      </w:r>
    </w:p>
    <w:p>
      <w:r>
        <w:rPr>
          <w:b/>
        </w:rPr>
        <w:t>E. 6.5</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auf Fr. 600.-- festzusetzen (vgl. Art. 2 und 3 des Reglements vom 21. Februar 2008 über die Kosten und Entschädigungen vor dem Bundesverwaltungsgericht [VGKE, SR 173.320.2, SR 173.320.2]) und dem Beschwerdeführer aufzuerlegen (Art. 63 Abs. 1 VwVG). Sie sind mit dem vom Beschwerdeführer am 22. Januar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