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D-86/2018 vom 24. April 2018</w:t>
      </w:r>
    </w:p>
    <w:p>
      <w:r>
        <w:t>Bundesverwaltungsgericht, 2018-04-24, DE</w:t>
      </w:r>
    </w:p>
    <w:p>
      <w:r>
        <w:rPr>
          <w:b/>
        </w:rPr>
        <w:t xml:space="preserve">Quelle: </w:t>
      </w:r>
      <w:r>
        <w:t>https://mcp.opencaselaw.ch/entscheid/bvger_D-86_2018</w:t>
      </w:r>
    </w:p>
    <w:p>
      <w:r>
        <w:t>FR: TAF D-86/2018 du 24 avril 2018</w:t>
      </w:r>
    </w:p>
    <w:p>
      <w:r>
        <w:t>IT: TAF D-86/2018 del 24 aprile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3.1</w:t>
      </w:r>
    </w:p>
    <w:p>
      <w:r>
        <w:t>Auf Beschwerdeebene werden die Verletzung des Anspruchs auf Akteneinsicht und (mithin) auf rechtliches Gehör sowie der Pflicht zur richtigen und vollständigen Abklärung des rechtserheblichen Sachverhalts gerügt. Diese formellen Rügen sind vorab zu prüfen, da sie allenfalls geeignet sind, eine Kassation der angefochtenen Verfügung zu bewirken.</w:t>
      </w:r>
    </w:p>
    <w:p>
      <w:r>
        <w:rPr>
          <w:b/>
        </w:rPr>
        <w:t>E. 3.2</w:t>
      </w:r>
    </w:p>
    <w:p>
      <w:r>
        <w:t>Bezüglich der gerügten Verletzung des Anspruchs auf Akteneinsicht kann auf die Instruktionsverfügung vom 22. Januar 2018 verwiesen werden. Darin wurde dargelegt, aus welchen Gründen die Aktenstücke A18/3 und A25/3 nicht dem Akteneinsichtsrecht unterliegen und demzufolge vom SEM zu Recht nicht offengelegt wurden. In die Aktenstücke A13/1 und A26/1 (E-Mail vom 23. Oktober 2017) wurde den Beschwerdeführenden mit Schreiben des SEM vom 31. Januar 2018 rechtsgenüglich Einsicht gewährt und sie erhielten die Gelegenheit, eine Beschwerdeergänzung einzureichen. Es liegt daher - wenn überhaupt - keine Verletzung des Akteneinsichtsrechts beziehungsweise eine Gehörsverletzung (mehr) vor.</w:t>
      </w:r>
    </w:p>
    <w:p>
      <w:r>
        <w:rPr>
          <w:b/>
        </w:rPr>
        <w:t>E. 3.3</w:t>
      </w:r>
    </w:p>
    <w:p>
      <w:r>
        <w:t>Bezüglich der weiteren formellen Rügen wurde in der Beschwerdeschrift auf die Beschwerde von E._______ verwiesen, weshalb nicht im Detail darauf einzugehen ist. An dieser Stelle ist immerhin festzuhalten, dass das SEM in der angefochtenen Verfügung mit ausreichender Begründung dargelegt hat, weshalb die Beschwerdeführenden die Flüchtlingseigenschaft gemäss Art. 3 AsylG nicht erfüllen und der Wegweisungsvollzug als zulässig, zumutbar und möglich zu erachten ist. Es kann mithin - abgesehen von der Verletzung des Akteneinsichtsrechts - keine Verletzung des Anspruchs der Beschwerdeführenden auf rechtliches Gehör (namentlich der Begründungspflicht) festgestellt werden. Insbesondere ist nicht zu beanstanden, dass das SEM separate Verfügungen für die Beschwerdeführenden einerseits und deren Vater respektive Ehemann andererseits erlassen hat. Ausserdem hat das SEM den rechtserheblichen Sachverhalt richtig und vollständig abgeklärt.</w:t>
      </w:r>
    </w:p>
    <w:p>
      <w:r>
        <w:rPr>
          <w:b/>
        </w:rPr>
        <w:t>E. 3.4</w:t>
      </w:r>
    </w:p>
    <w:p>
      <w:r>
        <w:t>Aufgrund des Gesagten besteht keine Veranlassung, die angefochtene Verfügung aus formellen Gründen aufzuheben und die Sache an die Vorinstanz zurückzuweisen. Die Rückweisungsanträge sind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Beschwerdeführerin hat bezogen auf ihren Heimatstaat D._______ unbestrittenermassen keine asylrelevanten Ausreisegründe vorgebracht. Sie (und ihre Kinder) erfüllen die Flüchtlingseigenschaft bereits deshalb nicht. Ausführungen zu ihren Ausreisegründen aus Syrien - bei welchem Land es sich nicht um ihren Heimatstaat handelt - erübrigen sich demzufolge.</w:t>
      </w:r>
    </w:p>
    <w:p>
      <w:r>
        <w:rPr>
          <w:b/>
        </w:rPr>
        <w:t>E. 4.3</w:t>
      </w:r>
    </w:p>
    <w:p>
      <w:r>
        <w:t>Nach dem Gesagten hat das SEM zu Recht die Flüchtlingseigenschaft der Beschwerdeführenden verneint und deren Asylgesuche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6.2.1</w:t>
      </w:r>
    </w:p>
    <w:p>
      <w:r>
        <w:t>Der Vollzug der Wegweisung ist vorliegend in Beachtung der massgeblichen völker- und landesrechtlichen Bestimmungen zulässig (vgl. Art. 83 Abs. 3 AuG). Es fehlen insbesondere - wie bereits in der angefochtenen Verfügung festgehalten - Anhaltspunkte dafür, dass den Beschwerdeführenden im Falle einer Rückkehr nach D._______ mit beachtlicher Wahrscheinlichkeit eine durch Art. 3 EMRK verbotene Strafe oder Behandlung droht.</w:t>
      </w:r>
    </w:p>
    <w:p>
      <w:r>
        <w:rPr>
          <w:b/>
        </w:rPr>
        <w:t>E. 6.2.2</w:t>
      </w:r>
    </w:p>
    <w:p>
      <w:r>
        <w:t>In der Beschwerde wird geltend gemacht, die Wegweisung (respektive der Wegweisungsvollzug) der Beschwerdeführenden nach D._______ verletze den Grundsatz der Familieneinheit beziehungsweise Art. 8 EMRK, da E._______ mangels Vorhandenseins eines syrischen Reisepasses nicht nach D._______ überstellt werden könne. Es sei ihm nicht möglich, bei der (...) Botschaft ein Familiennachzugsgesuch zu stellen respektive sei ein Familiennachzugsgesuch seiner Ehefrau in D._______ aussichtslos, solange er keinen syrischen Reisepass habe. Diesbezüglich kann auf das heutige Urteil D-90/2018 verwiesen werden, worin der durch das SEM angeordnete Vollzug der Wegweisung von E._______ nach D._______ bestätigt wird. Es kann daher weder eine Verletzung des Grundsatzes der Familieneinheit noch von Art. 8 EMRK festgestellt werden. Wie das SEM zu Recht - indes im Rahmen der Zumutbarkeitsprüfung - festgehalten hat, können die Beschwerdeführenden und E._______ ihr Familienleben in D._______ weiterführen. Dass es dabei unter Umständen zu einer vorübergehenden Trennung kommt, da im Falle von E._______ noch die erforderlichen Einreisepapiere - gegebenenfalls durch die Beschwerdeführerin von D._______ aus - beschafft werden müssen, ist unbeachtlich.</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Aus den im Gesetz genannten Gefährdungssituationen ergibt sich, dass nicht beliebige Nachteile oder Schwierigkeiten die Annahme einer konkreten Gefährdung im Sinne von Art. 83 Abs. 4 AuG rechtfertigen, sondern ausschliesslich Gefahren für Leib und Leben. Eine konkrete Gefährdung liegt folglich im Allgemeinen nicht schon deshalb vor, weil die wirtschaftliche Situation und damit die allgemeinen Lebensbedingungen im Heimatstaat schwierig sind und dort beispielsweise hohe Arbeitslosigkeit herrscht (vgl. etwa Urteil des BVGer D-2311/2016 vom 17. August 2017 E. 17.2 [als Referenzurteil publiziert]).</w:t>
      </w:r>
    </w:p>
    <w:p>
      <w:r>
        <w:rPr>
          <w:b/>
        </w:rPr>
        <w:t>E. 6.3.2</w:t>
      </w:r>
    </w:p>
    <w:p>
      <w:r>
        <w:t>Weder die allgemeine Lage in D._______ noch individuelle Gründe lassen auf eine Gefährdung der Beschwerdeführenden bei einer Rückkehr dorthin schliessen. Es kann auf die entsprechenden Erwägungen in der angefochtenen Verfügung verwiesen werden, denen auf Beschwerdeebene nichts Stichhaltiges entgegengehalten wird. Der Vollständigkeit halber ist festzuhalten, dass auch das Kindeswohl nicht gegen einen Wegweisungsvollzug spricht, da sich B._______ und C._______ noch in einem sehr stark von der Familie geprägten Alter befinden. Bei einer Rückkehr werden sie sich aufgrund ihres Alters in ihrem Heimatland, wo sie bereits längere Zeit gelebt haben und dessen Sprache sie sprechen, problemlos integrieren können.</w:t>
      </w:r>
    </w:p>
    <w:p>
      <w:r>
        <w:rPr>
          <w:b/>
        </w:rPr>
        <w:t>E. 6.3.3</w:t>
      </w:r>
    </w:p>
    <w:p>
      <w:r>
        <w:t>Nach dem Gesagten erweist sich der Vollzug der Wegweisung auch als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den rechtserheblichen Sachverhalt richtig und vollständig feststellt. Die festgestellte Bundesrechtsverletzung (Art. 106 Abs. 1 AsylG) in Form der zu Unrecht verweigerten Akteneinsicht konnte auf Beschwerdeebene behoben und von einer Rückweisung der Sache an die Vorinstanz abgesehen werden. Die Beschwerde ist daher abzuweisen.</w:t>
      </w:r>
    </w:p>
    <w:p>
      <w:r>
        <w:rPr>
          <w:b/>
        </w:rPr>
        <w:t>E. 8</w:t>
      </w:r>
    </w:p>
    <w:p>
      <w:r>
        <w:t>Bei diesem Ausgang des Verfahrens wären dessen Kosten den Beschwerdeführenden aufzuerlegen (Art. 63 Abs. 1 VwVG), zumal die erst nachträglich gewährte Akteneinsicht von derart untergeordneter Bedeutung ist, dass sich eine abweichende Kostenauflage nicht rechtfertigt. Da der Antrag auf unentgeltliche Prozessführung im Sinne von Art. 65 Abs. 1 VwVG mit Zwischenverfügung vom 22. Januar 2018 indes gutgeheissen wurde und die Beschwerdeführenden nach wie vor als bedürftig zu erachten sind, sind keine Verfahrenskosten zu erheben. Aus dem bereits erwähnten Grund - untergeordnete Bedeutung der nachträglich gewährten Akteneinsicht -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