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D-869/2010 vom 16. August 2012</w:t>
      </w:r>
    </w:p>
    <w:p>
      <w:r>
        <w:t>Bundesverwaltungsgericht, 2012-08-16, DE</w:t>
      </w:r>
    </w:p>
    <w:p>
      <w:r>
        <w:rPr>
          <w:b/>
        </w:rPr>
        <w:t xml:space="preserve">Quelle: </w:t>
      </w:r>
      <w:r>
        <w:t>https://mcp.opencaselaw.ch/entscheid/bvger_D-869_2010</w:t>
      </w:r>
    </w:p>
    <w:p>
      <w:r>
        <w:t>FR: TAF D-869/2010 du 16 août 2012</w:t>
      </w:r>
    </w:p>
    <w:p>
      <w:r>
        <w:t>IT: TAF D-869/2010 del 16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Das am 22. Februar 2012 geborene Kind ist in das vorliegende Verfahren mit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ausschliesslich gegen den von der Vorinstanz angeordneten Vollzug der Wegweisung. Die Verfügung des BFM vom 12. Januar 2010 ist, soweit sie die die Frage der Zuerkennung der Flüchtlingseigenschaft und der Gewährung von Asyl (Ziff. 1 und 2 des Dispositivs der angefochtenen Verfügung) betrifft, in Rechtskraft erwachsen. Auch ist die Anordnung der Wegweisung als solche (Ziff. 3 des Dispositivs) grundsätzlich nicht mehr zu überprüfen (vgl. Entscheidungen und Mitteilungen der Schweizerischen Asylrekurskommission [EMARK] 2001 Nr. 21). Gegenstand des Beschwerdeverfahrens bildet somit lediglich die Frage, ob die Wegweisung zu vollziehen oder ob anstelle des Vollzugs eine vorläufige Aufnahme anzuordnen ist.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Die Nichtzuerkennung der Flüchtlingseigenschaft sowie die Ablehnung des Asylgesuchs durch das BFM erwuchsen unangefochten in Rechtskraft und bilden somit nicht Gegenstand des Verfahrens, mithin kann der in Art. 5 AsylG verankerte Grundsatz der Nichtrückschiebung im vorliegenden Verfahren keine Anwendung finden. Eine Rückkehr der Beschwerdeführenden in den Heimatstaat ist demnach unter dem Aspekt von Art. 5 AsylG rechtmässig.</w:t>
      </w:r>
    </w:p>
    <w:p>
      <w:r>
        <w:rPr>
          <w:b/>
        </w:rPr>
        <w:t>E. 5.3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Das Bundesverwaltungsgericht nahm im Urteil BVGE 2008/2 zur Frage der Zumutbarkeit des Wegweisungsvollzugs nach Sri Lanka eine Lageanalyse vor. Gemäss der damals festgelegten Praxis war bei abgewiesenen Asylsuchenden tamilischer Ethnie, die aus dem Grossraum Colombo oder dessen Umgebung stammen, grundsätzlich von der Zumutbarkeit des Wegweisungsvollzugs in diese Gebiete auszugehen (vgl. BVGE 2008/2 E. 7.6.1 S. 20). In die Nord- und Ostprovinzen war der Wegweisungsvollzug hingegen unzumutbar ausser die Prüfung einer zumutbaren Aufenthaltsalternative im Süden des Landes war für abgewiesene tamilische Asylsuchende, welche aus den erwähnten Provinzen stammten, zu bejahen (vgl. BVGE 2008/2 E. 7.6.2 S. 21).</w:t>
      </w:r>
    </w:p>
    <w:p>
      <w:r>
        <w:rPr>
          <w:b/>
        </w:rPr>
        <w:t>E. 5.4.3</w:t>
      </w:r>
    </w:p>
    <w:p>
      <w:r>
        <w:t>Im Urteil BVGE 2011/24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BVGE 2011/24 E 13.2.2.3. und 13.3.). Hinsichtlich Personen, die aus der Nordprovinz stammen und deren letzter Aufenthalt dort längere Zeit zurückliegt, ist eine sorgfältige Prüfung der individuellen Zumutbarkeitsaspekte respektive des Vorhandenseins begünstigender Faktoren bei einem allfälligen Vollzug der Wegweisung vorzunehmen (vgl. BVGE 2011/24 E. 13.2.1.2).</w:t>
      </w:r>
    </w:p>
    <w:p>
      <w:r>
        <w:rPr>
          <w:b/>
        </w:rPr>
        <w:t>E. 5.4.4</w:t>
      </w:r>
    </w:p>
    <w:p>
      <w:r>
        <w:t>Die Beschwerdeführenden stammen aus I._______ in der Nordprovinz, wohin der Wegweisungsvollzug gemäss den Ausführungen in Ziff. 5.4.3. der Erwägungen grundsätzlich zumutbar ist. Die noch jungen (je nach behaupteter Identität (Alter) respektive (Alter) und - soweit aktenkundig - gesunden Beschwerdeführenden verfügen über eine ausgezeichnete Schulbildung. Der Beschwerdeführer ging 15 Jahre zur Schule und schloss diese mit dem A-Level im Jahre 1997 ab. Die Beschwerdeführerin besuchte die Schule bis zum A-Level mit Abschluss im Jahre 2002. Nach dem Abschluss arbeitete der Beschwerdeführer im Laden seines Vaters. Nach dessen Tod (Jahr) führte er den Laden mit seinem in I._______ wohnhaften Cousin als Partner (Sohn des in J._______ lebenden Onkels, mit dem er rege Geschäftsbeziehungen unterhielt; vgl. unten) und zwei anderen Angestellten bis zur Ausreise weiter. Dem Beschwerdeführer sollte vor diesem Hintergrund der Wiederaufbau einer Existenz für sich und seine Familie im Falle einer Rückkehr möglich sein. Im Rahmen der direkten Bundesanhörung führte er unter anderem auch aus, dass seine Ehefrau und er Einzelkinder seien und die Familie der Frau (Besitztum) wie er selbst besitzen würden. Ebenfalls gaben die Beschwerdeführenden zu Protokoll, dass nahe Verwandte (Beschwerdeführer: Onkel, Tante, Cousin; Beschwerdeführerin: Mutter, 2 Onkel, Tante) in Sri Lanka leben würden, weshalb davon auszugehen ist, dass diese ihnen im Falle einer Rückkehr allenfalls unterstützend zur Seite stehen respektive die Beschwerdeführenden auf ein existierendes, tragfähiges familiäres Beziehungsnetz stossen werden, was eine Reintegration zusätzlich erleichtert. Auch wenn die Beschwerdeführenden eine Wiedereingliederung in der Nordprovinz nicht in Betracht ziehen, bleibt festzuhalten, dass es ihnen unbenommen bleibt, sich entweder nach J._______ zu begeben, wo der "väterliche" Onkel des Beschwerdeführers lebt oder bei anderen in der entfernteren Umgebung von J._______ (rund 100 km) sich aufhaltenden Verwandten niederzulassen, mit deren Hilfe sie eine dauerhafte Bleibe in diesem Gebiet finden könnten. Weiter bestehen keine konkreten Anhaltspunkte dafür, dass die Beschwerdeführenden aufgrund ihrer mehrjährigen Landesabwesenheit bei einer Rückkehr nach Sri Lanka in eine existenzielle Notlage geraten würden (vgl. zum Ganzen auch angefochtene Verfügung II/S. 5). Nicht berührt ist die Frage des Kindeswohls im Sinne der Rechtsprechung (vgl. BVGE 2009/28 E. 9.3 S. 367 ff.). Die in der Schweiz geborenen Kinder der Beschwerdeführenden sind aufgrund ihres Alters noch vollkommen auf diese angewiesen. Schliesslich ist nochmals darauf hinzuweisen, dass die Beschwerdeführenden - nebst den nicht glaubhaft gemachten Verfolgungsvorbringen - irgendwelche Probleme mit den heimatlichen Behörden oder Organisationen ausdrücklich verneinten. Mithin können vorliegend begünstigende Faktoren im Sinne der oben zitierten Rechtsprechung angenommen werden und der Vollzug der Wegweisung kann - entgegen der in der Rechtsmitteleingabe vertretenen Auffassung - in genereller und individueller Hinsicht als zumutbar bezeichnet werden. Angesichts dieser Sachlage braucht auf die übrigen Ausführungen in der Beschwerde nicht eingegangen zu werden. Insbesondere erübrigen sich mangels Aktualitäts- und Fallbezug Erörterungen zu den im Zusammenhang mit der politischen Situation in Sri Lanka stehenden Publikationen (Zeitungsartikel). Ihnen ist die beweisrechtliche Bedeutung abzusprechen.</w:t>
      </w:r>
    </w:p>
    <w:p>
      <w:r>
        <w:rPr>
          <w:b/>
        </w:rPr>
        <w:t>E. 5.5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den Beschwerdeführenden aufzuerlegen (Art. 63 Abs. 1 und 5 VwVG). Nachdem den Beschwerdeführenden mit Verfügung vom 17. Februar 2010 die unentgeltliche Rechtspflege gewährt wurde und aufgrund der Aktenlage nach wie vor von der prozessualen Bedürftigkeit der Beschwerdeführenden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