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D-8679/2025 vom 19. November 2025</w:t>
      </w:r>
    </w:p>
    <w:p>
      <w:r>
        <w:t>Bundesverwaltungsgericht, 2025-11-19, DE</w:t>
      </w:r>
    </w:p>
    <w:p>
      <w:r>
        <w:rPr>
          <w:b/>
        </w:rPr>
        <w:t xml:space="preserve">Quelle: </w:t>
      </w:r>
      <w:r>
        <w:t>https://mcp.opencaselaw.ch/entscheid/bvger_D-8679_2025</w:t>
      </w:r>
    </w:p>
    <w:p>
      <w:r>
        <w:t>FR: TAF D-8679/2025 du 19 novembre 2025</w:t>
      </w:r>
    </w:p>
    <w:p>
      <w:r>
        <w:t>IT: TAF D-8679/2025 del 19 novembre 2025</w:t>
      </w:r>
    </w:p>
    <w:p>
      <w:pPr>
        <w:pStyle w:val="Heading2"/>
      </w:pPr>
      <w:r>
        <w:t>Regeste</w:t>
      </w:r>
    </w:p>
    <w:p>
      <w:r>
        <w:t>Nichteintreten auf Asylgesuch und Wegweisung (Art. 31a Abs. 1 Bst. c-e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3 AsylG; Art. 48 Abs. 1 sowie Art. 52 VwVG). Auf die frist- und formgerecht eingereichte Beschwerde ist daher – unter Einschränkung der nachfolgenden Erwägung – einzutreten.</w:t>
      </w:r>
    </w:p>
    <w:p>
      <w:r>
        <w:rPr>
          <w:b/>
        </w:rPr>
        <w:t>E. 1.4</w:t>
      </w:r>
    </w:p>
    <w:p>
      <w:r>
        <w:t>Auf den Antrag auf Erteilung der aufschiebenden Wirkung ist mangels Rechtsschutzinteresses nicht einzutreten, da der Beschwerde von Geset- zes wegen aufschiebende Wirkung zukommt und die Vorinstanz diese vor- liegend nicht entzog (Art. 55 Abs. 1 und Art. 2 VwVG).</w:t>
      </w:r>
    </w:p>
    <w:p>
      <w:r>
        <w:t>D-8679/2025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begründet und ist im Verfahren einzelrichterlicher Zustän- digkeit mit Zustimmung eines zweiten Richters beziehungsweise einer zweiten Richterin (Art. 111 Bst. e AsylG), ohne einen Schriftenwechsel und mit summarischer Begründung, zu behandeln (Art. 111a Abs. 1 und 2 AsylG).</w:t>
      </w:r>
    </w:p>
    <w:p>
      <w:r>
        <w:rPr>
          <w:b/>
        </w:rPr>
        <w:t>E. 4.1</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eintrat (vgl. BVGE 2017 VI/5 E. 3.1; 2012/4 E. 2.2, je m.w.H.).</w:t>
      </w:r>
    </w:p>
    <w:p>
      <w:r>
        <w:rPr>
          <w:b/>
        </w:rPr>
        <w:t>E. 4.2</w:t>
      </w:r>
    </w:p>
    <w:p>
      <w:r>
        <w:t>Hinsichtlich der Frage der Wegweisung und des Wegweisungsvollzugs nahm die Vorinstanz eine materielle Prüfung vor, weshalb dem Bundesver- waltungsgericht diesbezüglich volle Kognition zukommt.</w:t>
      </w:r>
    </w:p>
    <w:p>
      <w:r>
        <w:rPr>
          <w:b/>
        </w:rPr>
        <w:t>E. 5</w:t>
      </w:r>
    </w:p>
    <w:p>
      <w:r>
        <w:t>Auf Asylgesuche wird in der Regel nicht eingetreten, wenn Asylsuchende in einen Drittstaat zurückkehren können, in welchem sie sich vorher aufge- halten haben (Art. 31a Abs. 1 Bst. c AsylG), sofern die asylsuchende Per- son effektiv in den als sicher erachteten Drittstaat zurückkehren kann (vgl. Botschaft zur Änderung des Asylgesetzes vom 4. September 2002 [nach- folgend BBl 2002 6845], 6850). Nach Art. 31a Abs. 2 AsylG findet die Be- stimmung von Abs. 1 Bst. c keine Anwendung, wenn Hinweise darauf be- stehen, dass im Einzelfall im Drittstaat kein effektiver Schutz vor Rück- schiebung nach Art. 5 Abs. 1 AsylG besteht.</w:t>
      </w:r>
    </w:p>
    <w:p>
      <w:r>
        <w:rPr>
          <w:b/>
        </w:rPr>
        <w:t>E. 6.1</w:t>
      </w:r>
    </w:p>
    <w:p>
      <w:r>
        <w:t>Zur Begründung des Nichteintretensentscheids führte die Vorinstanz im Wesentlichen aus, der Beschwerdeführer habe sich von 2012 bis (…) in Südafrika aufgehalten. Er sei dort als Flüchtling anerkannt worden und habe seine Aufenthaltserlaubnis mehrmals verlängern können. Die</w:t>
      </w:r>
    </w:p>
    <w:p>
      <w:r>
        <w:t>D-8679/2025 Seite 5 dortigen Behörden hätten sich ausdrücklich bereit erklärt, ihn zurückzuneh- men. Südafrika sei dem Protokoll über die Rechtsstellung der Flüchtlinge beigetreten und verpflichte sich zur Einhaltung des Abkommens vom 28. Juli 1951 über die Rechtsstellung der Flüchtlinge sowie des Non-Refoule- ment-Gebots. Südafrika verfüge sodann über ein funktionierendes Rechts- system und die dortigen Behörden seien grundsätzlich schutzfähig und - willig. Es sei dort weder von einer permanenten noch einer flächendecken- den Verfolgung von ausländischen Staatsangehörigen auszugehen, wes- halb für den Beschwerdeführer bei einer Rückkehr nach Südafrika keine imminente lebensbedrohliche Gefährdung bestehe.</w:t>
      </w:r>
    </w:p>
    <w:p>
      <w:r>
        <w:rPr>
          <w:b/>
        </w:rPr>
        <w:t>E. 6.2</w:t>
      </w:r>
    </w:p>
    <w:p>
      <w:r>
        <w:t>Der Beschwerdeführer machte in seiner Beschwerde dagegen im We- sentlichen geltend, Flüchtlinge und Ausländer seien in Südafrika von allge- meiner Gewalt und Unsicherheit betroffen. Es gebe dort keinen staatlichen Schutz gegen Gewalt von Privaten.</w:t>
      </w:r>
    </w:p>
    <w:p>
      <w:r>
        <w:rPr>
          <w:b/>
        </w:rPr>
        <w:t>E. 7.1</w:t>
      </w:r>
    </w:p>
    <w:p>
      <w:r>
        <w:t>Mit Blick auf die Systematik der Nichteintretenstatbestände gemäss Art. 31a Abs. 1 AsylG ist zunächst festzustellen, dass die sogenannten «Drittstaatenfälle» Konstellationen umfassen, in welchen die in der Schweiz um Asyl nachsuchende Person den notwendigen Schutz in einem anderen Staat finden kann, und deshalb dieser Staat als zuständig erachtet wird. Die Prüfung des Nichteintretens ist daher in einem weiteren Sinne als Zuständigkeitsprüfung nach Art. 7 VwVG in ihrer spezialgesetzlichen asyl- rechtlichen Ausgestaltung zu verstehen. In diesem Sinne stellt ein Nicht- eintretensentscheid nichts anderes als eine Unzuständigkeitserklärung im Sinne von Art. 8 Abs. 1 VwVG dar. Die beim Erlassen eines Nichteintreten- sentscheids für das Verfahren zuständige Behörde ist demnach die Be- hörde des Drittstaats (vgl. Schweizerische Flüchtlingshilfe [SFH], Hand- buch zum Asyl- und Wegweisungsverfahren, 3. Aufl. 2021, S. 132). Eine Unzuständigkeitserklärung der Schweiz ohne die gleichzeitige Zuständig- keitserklärung des betreffenden Drittstaats ist in der Systematik der Nicht- eintretenstatbestände nach Art. 31a Abs. 1 AsylG grundsätzlich nicht vor- gesehen.</w:t>
      </w:r>
    </w:p>
    <w:p>
      <w:r>
        <w:rPr>
          <w:b/>
        </w:rPr>
        <w:t>E. 7.2</w:t>
      </w:r>
    </w:p>
    <w:p>
      <w:r>
        <w:t>Der Bundesrat bezeichnete Südafrika weder als verfolgungssicheren Heimat- oder Herkunftsstaat noch als sicheren Drittstaat im Sinne von Art. 6a Abs. 2 Bst. b AsylG. Daher kommt – von der Vorinstanz zutreffend erkannt – nur ein Nichteintretensentscheid gestützt auf Art. 31a Abs. 1 Bst. c AsylG in Betracht.</w:t>
      </w:r>
    </w:p>
    <w:p>
      <w:r>
        <w:t>D-8679/2025 Seite 6</w:t>
      </w:r>
    </w:p>
    <w:p>
      <w:r>
        <w:rPr>
          <w:b/>
        </w:rPr>
        <w:t>E. 7.3</w:t>
      </w:r>
    </w:p>
    <w:p>
      <w:r>
        <w:t>Art. 31a Abs. 1 Bst. c AsylG setzt zunächst den vorgängigen Aufenthalt der asylsuchenden Person im Drittstaat voraus. Vorliegend ist unbestritten, dass der Beschwerdeführer von 2012 bis (…) in Südafrika lebte. Das Kri- terium des vorgängigen Aufenthalts ist vorliegend erfüllt.</w:t>
      </w:r>
    </w:p>
    <w:p>
      <w:r>
        <w:rPr>
          <w:b/>
        </w:rPr>
        <w:t>E. 7.4</w:t>
      </w:r>
    </w:p>
    <w:p>
      <w:r>
        <w:t>Weiter setzt ein Nichteintretensentscheid gestützt auf Art. 31a Abs. 1 Bst. c AsylG das Vorliegen einer Rückübernahmezusicherung des Dritt- staats zwingend voraus (vgl. hierzu statt vieler Urteil des BVGer D- 7483/2024 vom 13. Dezember 2024 E. 6.2 m.w.H.; Constantin Hruschka in: Kommentar Migrationsrecht, 5. Auflage 2019, N 3 zu Art. 31a AsylG). Zur Drittstaatenregelung wird in der Botschaft zu aArt. 34 Abs. 2 Bst. b AsylG – welcher in die vorliegend relevante Norm überführt wurde (vgl. Botschaft zur Änderung des Asylgesetzes vom 26. Mai 2010, BBl 2010 4455, 4493) – Folgendes ausgeführt: «Die Möglichkeit, in einen Dritt- staat zurückkehren zu können, beinhaltet aber, dass dieser den Schweizer Asylbehörden gegenüber die Rückübernahme der asylsuchenden Person zugesichert hat» (BBl 2002 6845, 6884). Für den rechtskonformen Vollzug der Wegweisung in den Drittstaat ist daher sicherzustellen, dass die asyl- suchende Person tatsächlich wieder in den Drittstaat einreisen kann. Ge- mäss konstanter Rechtsprechung und Lehre ist die Möglichkeit des Weg- weisungsvollzugs (und nicht nur die freiwillige Weiterreise oder Rückkehr) Rechtsmässigkeitsvoraussetzung für das Fällen eines Nichteintretensent- scheids. Diese Möglichkeit, in einen Drittstaat zurückkehren zu können, beinhaltet, dass dieser Drittstaat den Schweizer Asylbehörden gegenüber die Rückübernahme der asylsuchenden Person zusicherte (vgl. BVGE 2010/56 E. 5.2.2; Urteil des Bundesverwaltungsgerichts D-7483/2024 vom 13. Dezember 2024 E. 6 m.w.H., BBl 2002 6845, 6850 und 6884). Demzu- folge müssen die Aufnahmebereitschaft des Drittstaats und die Vollzugs- möglichkeit im Zeitpunkt des Verfügungserlasses feststehen (Schweizeri- sche Flüchtlingshilfe [SFH], Handbuch zum Asyl- und Wegweisungsverfah- ren, 3. Aufl. 2021, S. 134), zumal bei der Drittstaatenregelung ein effizienter Vollzug der Wegweisung im Vordergrund steht (vgl. BBl 2002 6845, 6850).</w:t>
      </w:r>
    </w:p>
    <w:p>
      <w:r>
        <w:rPr>
          <w:b/>
        </w:rPr>
        <w:t>E. 7.5</w:t>
      </w:r>
    </w:p>
    <w:p>
      <w:r>
        <w:t>Gemäss Vorinstanz hätten die südafrikanischen Behörden sich aus- drücklich bereit erklärt, den Beschwerdeführer zurückzunehmen. Dem Schreiben (…) vom 4. November 2025 ist jedoch keine solche Rücküber- nahmezusicherung zu entnehmen. Darin ist bloss erwähnt, der Beschwer- deführer müsse bei der Botschaft vorstellig werden und dort seine Finger- abdrücke abgeben. Diese würden dann an das «Department of Home Af- fairs» in Pretoria, Südafrika, geschickt, um den Flüchtlingsstatus des Be- schwerdeführers zu bestätigen. Sobald dieser Status bestätigt sei, werde</w:t>
      </w:r>
    </w:p>
    <w:p>
      <w:r>
        <w:t>D-8679/2025 Seite 7 die Botschaft die Genehmigung zur Ausstellung eines Notfallreisedoku- ments beantragen, damit er nach Südafrika zurückkehren könne. Die süd- afrikanischen Behörden bestätigten damit weder den aktuell bestehenden Flüchtlingsstatus des Beschwerdeführers noch stimmten sie dessen Rück- übernahme explizit zu.</w:t>
      </w:r>
    </w:p>
    <w:p>
      <w:r>
        <w:rPr>
          <w:b/>
        </w:rPr>
        <w:t>E. 7.6</w:t>
      </w:r>
    </w:p>
    <w:p>
      <w:r>
        <w:t>Die Vorinstanz erliess somit einen Nichteintretensentscheid, ohne eine Rückübernahmezusicherung bei den entsprechenden drittstaatlichen Be- hörden, die es für zuständig im Sinne von Art. 31a Abs. 1 Bst. c AsylG hält, zu erhalten. Damit erweist sich der rechtserhebliche Sachverhalt als unzu- reichend festgestellt.</w:t>
      </w:r>
    </w:p>
    <w:p>
      <w:r>
        <w:rPr>
          <w:b/>
        </w:rPr>
        <w:t>E. 8</w:t>
      </w:r>
    </w:p>
    <w:p>
      <w:r>
        <w:t>Der Beschwerdeführer verfügt sodann über die somalische Staatsangehö- rigkeit. Die Flüchtlingseigenschaft des Beschwerdeführers war dabei nicht Prozessgegenstand und der Vollzug der Wegweisung wurde einzig bezüg- lich den Drittstaat Südafrika geprüft. Unter den gegebenen Umständen ist im Dispositiv zwingend festzuhalten, dass der Vollzug der Wegweisung in den Heimatstaat Somalia ausgeschlossen ist, da ihm dort gegebenenfalls Verfolgung droht (vgl. BVGE 2014/12 E. 5.11). Damit ist auch die Begrün- dung sowie das Dispositiv der angefochtenen Verfügung nicht vollständig.</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9.2</w:t>
      </w:r>
    </w:p>
    <w:p>
      <w:r>
        <w:t>Aufgrund der vorzunehmenden Abgabe der Fingerabdrücke des Be- schwerdeführers bei der südafrikanischen Botschaft in der Schweiz und der daraufhin zu erfolgenden Abklärung seitens der südafrikanischen Be- hörden, ob der Beschwerdeführer in Südafrika noch stets über den Flücht- lingsstatus verfügt und ihm ein Notfallreisedokument ausgestellt werden kann, rechtfertigt es sich, die angefochtene Verfügung aufzuheben und die Sache zur Neubeurteilung an die Vorinstanz zurückzuweisen. Die Be- schwerde ist insofern gutzuheissen, soweit auf diese einzutreten ist.</w:t>
      </w:r>
    </w:p>
    <w:p>
      <w:r>
        <w:t>D-8679/2025 Seite 8</w:t>
      </w:r>
    </w:p>
    <w:p>
      <w:r>
        <w:rPr>
          <w:b/>
        </w:rPr>
        <w:t>E. 10.1</w:t>
      </w:r>
    </w:p>
    <w:p>
      <w:r>
        <w:t>Bei diesem Ausgang des Verfahrens sind keine Kosten zu erheben (Art. 63 Abs. 1 und 2 VwVG).</w:t>
      </w:r>
    </w:p>
    <w:p>
      <w:r>
        <w:rPr>
          <w:b/>
        </w:rPr>
        <w:t>E. 10.2</w:t>
      </w:r>
    </w:p>
    <w:p>
      <w:r>
        <w:t>Dem Beschwerdeführer wäre angesichts seines Obsiegens in Anwen- dung von Art. 64 VwVG und Art. 7 Abs. 1 des Reglements vom 21. Februar 2008 über die Kosten und Entschädigungen vor dem Bundesverwaltungs- gericht (VGKE, SR 173.320.2) eine Entschädigung für die ihm notwendi- gerweise erwachsenen Parteikosten zuzusprechen. Da er vorliegend je- doch nicht vertreten war, sind ihm keine Parteikosten entstanden. Dement- sprechend ist ihm keine Parteientschädigung auszurichten.</w:t>
      </w:r>
    </w:p>
    <w:p>
      <w:r>
        <w:t>(Dispositiv nächste Seite)</w:t>
      </w:r>
    </w:p>
    <w:p>
      <w:r>
        <w:t>D-8679/2025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