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D-866/2022 vom 28. Februar 2022</w:t>
      </w:r>
    </w:p>
    <w:p>
      <w:r>
        <w:t>Bundesverwaltungsgericht, 2022-02-28, DE</w:t>
      </w:r>
    </w:p>
    <w:p>
      <w:r>
        <w:rPr>
          <w:b/>
        </w:rPr>
        <w:t xml:space="preserve">Quelle: </w:t>
      </w:r>
      <w:r>
        <w:t>https://mcp.opencaselaw.ch/entscheid/bvger_D-866_2022</w:t>
      </w:r>
    </w:p>
    <w:p>
      <w:r>
        <w:t>FR: TAF D-866/2022 du 28 février 2022</w:t>
      </w:r>
    </w:p>
    <w:p>
      <w:r>
        <w:t>IT: TAF D-866/2022 del 28 febbraio 2022</w:t>
      </w:r>
    </w:p>
    <w:p>
      <w:pPr>
        <w:pStyle w:val="Heading2"/>
      </w:pPr>
      <w:r>
        <w:t>Regeste</w:t>
      </w:r>
    </w:p>
    <w:p>
      <w:r>
        <w:t>Nichteintreten auf Asylgesuch und Wegweisung (Dublin-Verfahren)</w:t>
      </w:r>
    </w:p>
    <w:p>
      <w:pPr>
        <w:pStyle w:val="Heading2"/>
      </w:pPr>
      <w:r>
        <w:t>Erwägungen</w:t>
      </w:r>
    </w:p>
    <w:p>
      <w:r>
        <w:rPr>
          <w:b/>
        </w:rPr>
        <w:t>E. 16</w:t>
      </w:r>
    </w:p>
    <w:p>
      <w:r>
        <w:t>Februar 2022 zustimmten, dass der Beschwerdeführer bestreitet, in Österreich ein Asylgesuch einge- reicht zu haben und die grundsätzliche Zuständigkeit der Schweiz wegen seiner angeblichen Minderjährigkeit geltend macht, dass allerdings dem Datenabgleich in der «Eurodac»-Datenbank sowie der Übernahmezusage der österreichischen Behörden vom 16. Februar 2022 zu entnehmen ist, dass er dort als asylsuchende Person registriert und ins Verfahren aufgenommen worden ist, das wie dargelegt von der Volljährigkeit des Beschwerdeführers auszuge- hen ist, dass die grundsätzliche Zuständigkeit Österreichs somit gegeben ist, dass es keine Gründe für die Annahme gibt, das Asylverfahren und die Auf- nahmebedingungen für Antragsteller in Österreich weise systemische Schwachstellen im Sinne von Art. 3 Abs. 2 Sätze 2 und 3 Dublin-III-VO auf,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w:t>
      </w:r>
    </w:p>
    <w:p>
      <w:r>
        <w:t>D-866/2022 Seite 7 konkretisiert wird und das SEM das Asylgesuch gemäss dieser Bestim- mung "aus humanitären Gründen" auch dann behandeln kann, wenn dafür gemäss Dublin-III-VO ein anderer Staat zuständig wäre, dass der Beschwerdeführer eventualiter die Anwendung von Art. 17 Abs. 1 Dublin-III-VO respektive Art. 29a Abs. 3 AsylV 1 fordert, und dies damit be- gründet, Österreich gefalle ihm nicht und zudem auf Beschwerdeebene geltend macht, dort gebe es keinen Zugang zu Rechtsberatung und auch vulnerable Personen würden dort inhaftiert, dass in Österreich in ähnlicher Weise wie in der Schweiz seit 1. Januar 2021 eine flächendeckende Rechtsberatung und Rechtsvertretung für Asylsuchende eingerichtet wurde und verfügbar ist, dass der Beschwerdeführer in keiner Weise darlegt, dass er bei Rückkehr nach Österreich einer möglichen Inhaftierung ausgesetzt sein könnte und nach der Quellenlage dort auch keine systematische Inhaftierung asylsu- chender Personen stattfindet, dass Österreich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dementsprechend die generellen Vorbringen des Beschwerdeführers zu fehlenden Rechtsberatungsmöglichkeiten und zu einer möglichen Inhaf- tierung offensichtlich nicht geeignet sind, ein individuelles Überstellungs- verbot zu begründen,</w:t>
      </w:r>
    </w:p>
    <w:p>
      <w:r>
        <w:t>D-866/2022 Seite 8 dass die vom Beschwerdeführer geltend gemachten gesundheitlichen Probleme, die insbesondere Haut- und Augenprobleme umfassen, eben- falls offensichtlich nicht geeignet sind, ein Überstellungsverbot zu begrün- den, dass diesen Problemen vielmehr im Rahmen der Überstellung Rechnung getragen werden kann und erste diesbezügliche Absprachen zwischen der Vorinstanz und den österreichischen Behörden bereits im Zuge des Über- nahmeverfahrens stattgefunden haben, dass der Beschwerdeführer kein konkretes und ernsthaftes Risiko darge- tan hat, die österreichischen Behörden würden sich weigern ihn wieder auf- 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dem SEM bei der Anwendung von Art. 29a Abs. 3 AsylV 1 Ermessen zukommt (vgl. BVGE 2015/9 E. 7 f.) und den Akten keine Hinweise auf eine gesetzeswidrige Ermessensausübung (vgl. Art. 106 Abs. 1 Bst. a AsylG) durch die Vorinstanz zu entnehmen sind, dass daher die Voraussetzungen für die eventualiter beantragte gerichtli- che Anweisung an das SEM, sich gestützt auf Art. 29a Abs. 3 AsylV 1 für das Asylverfahren für zuständig zu erklären, offensichtlich nicht vorliegen,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das Fehlen von Überstellungshindernissen bereits Voraussetzung des Nichteintretensentscheids gemäss Art. 31a Abs. 1 Bst. b AsylG ist,</w:t>
      </w:r>
    </w:p>
    <w:p>
      <w:r>
        <w:t>D-866/2022 Seite 9 weshalb allfällige Vollzugshindernisse gemäss Art. 83 Abs. 3 und 4 des Bundesgesetzes vom 16. Dezember 2005 über die Ausländerinnen und Ausländer und über die Integration (AIG; SR 142.20) unter diesen Umstän- den nicht mehr zu prüfen (vgl. BVGE 2015/18 E. 5.2 m.w.H.) sind, dass die Beschwerde aus diesen Gründen vollumfänglich abzuweisen und die Verfügung der Vorinstanz zu bestätigen ist, dass vollständigkeitshalber darauf hinzuweisen ist, dass die Vorinstanz den Beschwerdeführer in den Erwägungen der angefochtenen Verfügung darauf hinweist, dass er seiner «Pflicht zur Ausreise nicht selbständig nach- kommen» könne, sondern sich an die entsprechenden Anweisungen der Migrationsbehörden zu halten habe und dass eine Überstellung nach Österreich erst durchgeführt werde, wenn «die Reisebeschränkungen dies zulassen», dass das SEM damit eine Überstellung des Beschwerdeführers auf eigene Initiative im Sinne von Art. 7 Abs. 1 Bst. a der Verordnung (EG) Nr. 1560/2003 der Kommission vom 2. September 2003 ausgeschlossen hat, dass diese Ausführungen mit der durch den vorliegenden Dublin-Entscheid begründeten Ausreisepflicht am Tag nach Ablauf der Beschwerdefrist in Dispositiv-Ziffer 3 in einem gewissen Widerspruch stehen, worauf das SEM hinzuweisen ist, dass sich der Beschwerdeführer somit bis zur behördlichen Organisation der Überstellung in der Schweiz aufhalten darf beziehungsweise muss (vgl. zu Pflichten und Vorgehen bei Überstellungen Urteil des Bundesverwal- tungsgerichts D-4239/2021 vom 19. Oktober 2021 E.11 m.w.H),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w:t>
      </w:r>
    </w:p>
    <w:p>
      <w:r>
        <w:t>D-866/2022 Seite 10 dass bei diesem Ausgang des Verfahrens die Kosten von Fr. 750.– (Art. 1‒3 des Reglements vom 21. Februar 2008 über die Kosten und Entschädigun- gen vor dem Bundesverwaltungsgericht [VGKE, SR 173.320.2]) dem Beschwerdeführer aufzuerlegen sind (Art. 63 Abs. 1 VwVG).</w:t>
      </w:r>
    </w:p>
    <w:p>
      <w:r>
        <w:t>(Dispositiv nächste Seite)</w:t>
      </w:r>
    </w:p>
    <w:p>
      <w:r>
        <w:t>D-866/2022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