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D-865/2014 vom 13. März 2014</w:t>
      </w:r>
    </w:p>
    <w:p>
      <w:r>
        <w:t>Bundesverwaltungsgericht, 2014-03-13, DE</w:t>
      </w:r>
    </w:p>
    <w:p>
      <w:r>
        <w:rPr>
          <w:b/>
        </w:rPr>
        <w:t xml:space="preserve">Quelle: </w:t>
      </w:r>
      <w:r>
        <w:t>https://mcp.opencaselaw.ch/entscheid/bvger_D-865_2014</w:t>
      </w:r>
    </w:p>
    <w:p>
      <w:r>
        <w:t>FR: TAF D-865/2014 du 13 mars 2014</w:t>
      </w:r>
    </w:p>
    <w:p>
      <w:r>
        <w:t>IT: TAF D-865/2014 del 13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Die Schweizerische Bundesversammlung hat am 14. Dezember 2012 eine Revision des Asylgesetzes vom 26. Juni 1998 verabschiedet (AS 2013 4375), welche am 1. Februar 2014 in Kraft getreten ist. Gemäss Abs. 2 der diesbezüglichen Übergangsbestimmungen gilt für die im Zeit­punkt des Inkrafttretens hängigen Verfahren das neue Recht.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an dieser Stelle festzuhalten, dass sämtliche an einer Asylbefragung teilnehmenden Personen hinsichtlich ihrer Vertrauenswürdigkeit und charakterlichen Eignung sorgfältig geprüft wer­den und somit das volle Vertrauen der Behörden geniessen. Sie unterlie­gen der Geheimhaltungspflicht und werden auf die damit verbundenen Sorgfaltspflichten hin­gewiesen. Auf diesen Umstand werden Asylsu­chende zu Beginn jeder Anhörung und Befragung aufmerksam gemacht (vgl. BFM-Akten A5/24 S. 2). Im vorliegenden Fall sind denn auch aus den Akten keine Hinweise ersichtlich, die Zweifel an der Integrität des Dolmetschers aufkommen lassen. Ebenso wenig lässt sich den Protokol­len, der auf Beschwerdeebene erhobene Einwand entnehmen, wonach der Beschwerdeführer ausdrücklich einen anderen Dolmetscher verlangt haben will, und man ihn habe wissen lassen, dies sei nur möglich, wenn er die so entstandenen (Mehr-)Kosten übernehme (vgl. Rechtsmittelein­gabe vom 15. Februar 2014 S. 5 m. H. a. Eingabe vom 9. April 2009).</w:t>
      </w:r>
    </w:p>
    <w:p>
      <w:r>
        <w:rPr>
          <w:b/>
        </w:rPr>
        <w:t>E. 5.2</w:t>
      </w:r>
    </w:p>
    <w:p>
      <w:r>
        <w:t>Nach Prüfung der Akten durch das Gericht ist in Übereinstimmung mit der Vorinstanz festzustellen, dass die Asylvorbringen des Beschwerdeführers den Anforderungen an die Flüchtlingseigenschaft nicht standzuhalten vermögen, weshalb diesbezüglich vorab auf die zutreffenden vorin­stanzlichen Erwägungen zu verweisen ist (vgl. Bst. D.b vorstehend). Die Beschwerdevorbringen sind nicht geeignet, zu einer von der Vorinstanz abweichenden Betrachtungsweise zu führen, zumal in der Rechtsmittel­eingabe im Wesentlichen das bereits in der Eingabe vom 9. April 2009 aufgeführte Gespräch mit der Schweizer Dolmetscherin wie­dergegeben wird, der Rechtsvertreter auf Unstimmigkeiten im ersten Asylverfahren verweist, die mit der Angst und der Scham des Beschwerdeführers bezüglich des Bekanntwerdens seiner Homosexuali­tät zu erklären seien, und an der Asylrelevanz der geschilderten Ereig­nisse (der Angriff eines Kunden und der Einbruch in sein Haus) festgehal­ten wird. Diese Vorbringen können jedoch zu keiner anderen Betrachtungsweise führen, zumal sie bereits Gegenstand einer Beurteilung durch das Bundesverwaltungsgericht waren, die für den Beschwerdeführer negativ verlief.</w:t>
      </w:r>
    </w:p>
    <w:p>
      <w:r>
        <w:rPr>
          <w:b/>
        </w:rPr>
        <w:t>E. 5.3</w:t>
      </w:r>
    </w:p>
    <w:p>
      <w:r>
        <w:t>Angesichts der aufgezeigten Sachlage erübrigt es sich, auf die weite­ren Ausführungen in der Beschwerde einzugehen, da diese nicht geeig­net sind, zu einer anderen rechtlichen Würdigung der Aktenlage zu füh­ren. Es ist somit festzustellen, dass der Beschwerdeführer einen flüchtlingsrechtlich bedeutsamen Sachverhalt weder nachgewiesen noch glaubhaft gemacht hat, weshalb die Vorinstanz sein Asylgesuch zu Recht abgelehnt hat. Es erübrigt sich, auf die weiteren Vorbringen im Einzelnen einzugehen, da sie an obiger Erkenntnis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2009/50 E. 9 S. 733 m.w.H.).</w:t>
      </w:r>
    </w:p>
    <w:p>
      <w:r>
        <w:rPr>
          <w:b/>
        </w:rPr>
        <w:t>E. 6.3</w:t>
      </w:r>
    </w:p>
    <w:p>
      <w:r>
        <w:t>Da er mit Verfügung des BFM vom 6. Februar 2009 vorläufig aufgenommen wurde, erübrigen sich weitere Ausführungen zur Frage der Durchführbarkeit des Vollzugs.</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Der Rechtsvertreter des Beschwerdeführers stellte unter anderem den Antrag, es sei ihm die unentgeltliche Rechtspflege im Sinne von Art. 65 Abs. 1 VwVG zu gewähren und es sei auf die Erhebung eines Kostenvor­schusses zu verzichten.</w:t>
      </w:r>
    </w:p>
    <w:p>
      <w:r>
        <w:rPr>
          <w:b/>
        </w:rPr>
        <w:t>E. 8.1</w:t>
      </w:r>
    </w:p>
    <w:p>
      <w:r>
        <w:t>Das Gesuch um Verzicht auf die Erhebung eines Kostenvorschusses ist angesichts des Entscheids in der Hauptsache gegenstandslos gewor­den.</w:t>
      </w:r>
    </w:p>
    <w:p>
      <w:r>
        <w:rPr>
          <w:b/>
        </w:rPr>
        <w:t>E. 8.2</w:t>
      </w:r>
    </w:p>
    <w:p>
      <w:r>
        <w:t>Das Gesuch um Gewährung der unentgeltlichen Rechtspflege ge­mäss Art. 65 Abs. 1 VwVG ist abzuweisen, da die Beschwerde aufgrund der vorstehenden Erwägungen als aussichtslos erscheint.</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