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D-8659/2010 vom 4. Februar 2011</w:t>
      </w:r>
    </w:p>
    <w:p>
      <w:r>
        <w:t>Bundesverwaltungsgericht, 2011-02-04, DE</w:t>
      </w:r>
    </w:p>
    <w:p>
      <w:r>
        <w:rPr>
          <w:b/>
        </w:rPr>
        <w:t xml:space="preserve">Quelle: </w:t>
      </w:r>
      <w:r>
        <w:t>https://mcp.opencaselaw.ch/entscheid/bvger_D-8659_2010</w:t>
      </w:r>
    </w:p>
    <w:p>
      <w:r>
        <w:t>FR: TAF D-8659/2010 du 4 février 2011</w:t>
      </w:r>
    </w:p>
    <w:p>
      <w:r>
        <w:t>IT: TAF D-8659/2010 del 4 febbraio 2011</w:t>
      </w:r>
    </w:p>
    <w:p>
      <w:pPr>
        <w:pStyle w:val="Heading2"/>
      </w:pPr>
      <w:r>
        <w:t>Regeste</w:t>
      </w:r>
    </w:p>
    <w:p>
      <w:r>
        <w:t>Migration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6. Dezember 2010 bei der schweizerischen Botschaft in Colombo eingegangene Beschwerde rechtzeitig erfolgt ist.</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formgerecht eingereichte Beschwerde ist somit einzu­treten (Art. 108 Abs. 1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Offensichtlich unbegründete Beschwerden fallen in einzelrichterliche Zuständigkeit und werden mit Zustimmung eines zweiten Richters entschieden (Art. 111 Abs. 1 Bst. e AsylG). Wie sich aus den nachfolgenden Erwägungen ergibt, handelt es sich vorliegend um eine offensichtlich unbegründete Beschwerde.</w:t>
      </w:r>
    </w:p>
    <w:p>
      <w:r>
        <w:rPr>
          <w:b/>
        </w:rPr>
        <w:t>E. 3.2</w:t>
      </w:r>
    </w:p>
    <w:p>
      <w:r>
        <w:t>Gestützt auf Art. 111a Abs. 1 AsylG wurde vorliegend auf die Durch­füh­rung des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w:t>
      </w:r>
    </w:p>
    <w:p>
      <w:r>
        <w:t>Im vorliegenden Fall wurde der Beschwerdeführer von der schwei­ze­rischen Botschaft in Colombo zu seinem Asylgesuch vom 2. Juli 2008 nicht an­gehört. In­des wurde er im Rahmen des rechtlichen Gehörs mittels Schreiben vom 16. Juli 2008 zur weiteren Konkretisierung seiner Asylgründe auf­gefordert (vgl. Bst. B hiervor). Aufgrund der Antworten des Beschwerdeführers auf die in diesem Schreiben ent­haltenen Fragestellungen sowie aufgrund der im schriftlichen Asylgesuch enthaltenen Vorbringen (vgl. Bst. A Ab­schnitt 2 hiervor) konnte das BFM letzt­lich ohne weiteres da­von ausgehen, dass sämtliche für die Beurteilung des Asyl­ge­su­ches aus dem Ausland notwendigen Aspekte abgedeckt waren, namentlich die genauen Personalien der asyl­suchenden Person, die detaillierten Asyl­vorbringen, die unternommenen Mass­nahmen zur Schutzsuche oder die Möglichkeit einer innerstaatlichen Fluchtalternative. Der Be­schwer­de­führer hat die ihm gestellten Fragen jeweils Punkt für Punkt be­ant­wortet. Zusätzlich ist festzu­stellen, dass sich der Be­schwer­deführer überhaupt in sämtlichen Eingaben (2. Juli 2008, 1. August 2008, 23. Juli 2010, 29. August 2010) grundsätz­lich auf den gleichen Sach­ver­halt berief. Bei dieser Sach­lage ist festzu­halten, dass im vorliegenden Ver­fahren dem An­spruch des Be­schwerdeführers auf Gewährung des recht­lichen Ge­hörs Rechnung getragen und der entscheidwesentliche Sach­verhalt in genügender Weise und umfassend abgeklärt wurde.</w:t>
      </w:r>
    </w:p>
    <w:p>
      <w:r>
        <w:rPr>
          <w:b/>
        </w:rPr>
        <w:t>E. 4.3</w:t>
      </w:r>
    </w:p>
    <w:p>
      <w:r>
        <w:t>Die Vorinstanz hat sodann in der angefochtenen Verfügung be­grün­det, weshalb auf eine persönliche Anhörung verzichtet wurde. Da­mit ist sie ihrer diesbezüglichen Begründungspflicht nach­gekommen.</w:t>
      </w:r>
    </w:p>
    <w:p>
      <w:r>
        <w:rPr>
          <w:b/>
        </w:rPr>
        <w:t>E. 5.1</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6</w:t>
      </w:r>
    </w:p>
    <w:p>
      <w:r>
        <w:t>Mit der Vorinstanz ist festzuhalten, dass die Vorbringen des Be­schwer­de­füh­rers weder einreise- noch asylrelevant sind. Weder wird von ihr die er­wähnte Er­mordung des Vaters (23. Juli 2006) oder die Tötung des Bruders (1998) noch generell die Glaubhaftigkeit seines Sachvortrags in Abrede gestellt. Den in diesem Zusammenhang in Kopie eingereichten Be­weis­mitteln kann daher - wie das BFM zutreffend fest­hielt - keine wei­te­re Bedeutung beigemessen werden. Hinsichtlich der Ausführungen des Beschwerdeführers zur geltend gemachten Suche nach ihm in Colombo durch unbekannte Leute (Angehörige einer paramilitärischen Gruppe) ist vorab festzuhalten, dass am 19. Mai 2009 der seit 1983 herr­schende Bür­ger­krieg zwi­schen tamilischen Separatisten, vor allem der LTTE auf der einen und dem srilankischen Militär sowie diversen para­militärischen singhalesi­schen und tamilischen Anti-LTTE-Einheiten auf der anderen Seite, nach dem endgültigen militärischen Sieg der sri­lankischen Armee und dem Tod Velupillai Prabhakarans sowie der ge­samten Führungselite der LTTE von Mahinda Rajapaksa, dem Prä­si­denten Sri Lankas, offi­ziell für be­endet erklärt worden ist. Vor diesem Hin­tergrund erweisen sich die vom Beschwerdeführer geäusserten Be­fürch­tungen, allfälligen Ver­folgungen wegen des Vaters oder des Bruders durch unbekannte Personen zum heu­ti­gen Zeit­punkt aus­ge­setzt zu sein, als überwiegend unwahrscheinlich. Sodann ist festzustellen, dass der Beschwerdeführer in sämt­lichen seine Angelegenheit betreffenden Eingaben stets unsubstanziiert blieb. Konkret, gezielt gegen ihn gerichtete nachteilige Mass­nah­men seitens seiner angeblichen Verfolger vermochte er nicht darzutun. Seine diesbezüg­lichen Schilderungen fördern keine näheren Hinweise oder Aufschlüsse für eine (asyl-) beachtliche Bedrohungssituation zu Tage. Aus den in den Eingaben vom 23. Juli und 29. August 2010 erwähnten beiden Ereignis­sen resultierten dem Beschwerdeführer ebenfalls keine Benachteiligun­gen, die auf eine Gefährdungssituation im Sinne des Asylgesetzes schlies­sen liessen. Insbesondere gilt in diesem Zusammenhang zu erwäh­nen, dass es ihm - dem seitens des Staates nicht Verfolgten -zu­zu­muten gewesen wäre, bei den srilankischen Behörden um Schutz vor den von Dritten ausgehenden Bedrohungen nachzusuchen. Auch in der Beschwerdeeingabe lässt es der Beschwerdeführer mit nicht über Allgemeinplätzen hinausgehenden Behauptungen bewenden. Ebenso unterbleibt eine Auseinandersetzung mit den Erwägungen der Vorinstanz in der angefochtenen Verfügung. Der Vollständigkeit halber sei bloss noch erwähnt, dass sich der Beschwerdeführer seit seinem Wegzug nach Colombo (29. Juli 2006) dort stets von Unbekannten ("para military personals"), welche sich oft in der Nähe seines Hauses aufgehalten haben sollen, beobachtet und bedroht gefühlt haben will. Vor diesem Hintergrund ist es als zumindest als verwunderlich zu bezeichnen, dass der Beschwerdeführer erst rund zwei Jahre später ein Asylgesuch einreicht und darüber hinaus auch im Zeitpunkt der Beschwerdeerhebung, immer noch im gleichen Quartier in Colombo wohnhaft ist. Ein solches Verhalten ist kaum mit der geltend gemachten Bedrohungssituation zu vereinbaren.</w:t>
      </w:r>
    </w:p>
    <w:p>
      <w:r>
        <w:rPr>
          <w:b/>
        </w:rPr>
        <w:t>E. 7</w:t>
      </w:r>
    </w:p>
    <w:p>
      <w:r>
        <w:t>Zusammenfassend ist festzustellen, dass der Beschwerdeführer kei­ne Ver­folgung im Sinne von Art. 3 AsylG darzulegen vermochte. Das BFM hat dem­nach zu Recht die Einreise in die Schweiz nicht bewilligt und das Asylgesuch abgelehnt. Bei dieser Sachlage erübrigen sich weitere Erörte­run­gen.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