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D-8657/2010 vom 7. April 2011</w:t>
      </w:r>
    </w:p>
    <w:p>
      <w:r>
        <w:t>Bundesverwaltungsgericht, 2011-04-07, DE</w:t>
      </w:r>
    </w:p>
    <w:p>
      <w:r>
        <w:rPr>
          <w:b/>
        </w:rPr>
        <w:t xml:space="preserve">Quelle: </w:t>
      </w:r>
      <w:r>
        <w:t>https://mcp.opencaselaw.ch/entscheid/bvger_D-8657_2010</w:t>
      </w:r>
    </w:p>
    <w:p>
      <w:r>
        <w:t>FR: TAF D-8657/2010 du 7 avril 2011</w:t>
      </w:r>
    </w:p>
    <w:p>
      <w:r>
        <w:t>IT: TAF D-8657/2010 del 7 aprile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Die vorinstanzliche Vernehmlassung wurde dem Beschwerdeführer bisher nicht zugestellt. Sie ist ihm aus Transparenzgründen mit dem vorliegenden Urteil zur Kenntnis zu bringen.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In formeller Hinsicht ist zunächst festzuhalten, dass gemäss Art. 19 Abs. 1 AsylG ein Asylgesuch im Ausland bei einer schweizerischen Vertretung gestellt werden kann,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Die schweizerische Vertretung überweist dem Bundesamt das Befragungsprotokoll oder das schriftliche Asylgesuch sowie weitere zweckdienliche Unterlagen und einen ergänzenden Bericht, der ihre Beurteilung des Asylgesuchs enthält (Art. 10 Abs. 3 AsylV 1). Im vorliegenden Fall wurden diesen gesetzlichen Bestimmungen durch die Befragung des Beschwerdeführers vom 26. August 2010 sowie den ergänzenden Bericht der schweizerischen Vertretung vom 31. August 2010 Genüge getan.</w:t>
      </w:r>
    </w:p>
    <w:p>
      <w:r>
        <w:rPr>
          <w:b/>
        </w:rPr>
        <w:t>E. 4.1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4.2</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massgebende Praxis der ARK in Entscheidungen und Mitteilungen der Schweizerischen Asylrekurskommission [EMARK] 1997 Nr. 15, insbesondere S. 131 ff., welcher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5.1</w:t>
      </w:r>
    </w:p>
    <w:p>
      <w:r>
        <w:t>Das BFM begründete seine Verfügung damit, dass die vom Beschwerdeführer erlittenen physischen Beeinträchtigungen während der fast dreijährigen Haft bedauerlich seien. Die Erteilung einer Einreisebewilligung diene jedoch nicht dem Ausgleich von vergangenem Unrecht. Er sei im Mai 2010 freigelassen worden, ohne dass Anklage erhoben worden sei. Es seien auch keine Bedingungen an die Freilassung geknüpft worden. Seine Furcht vor zukünftigen Verfolgungsmassnahmen basiere in erster Linie auf Mutmassungen. Er vermute bloss, dass die Unbekannten, die nach ihm gefragt hätten, dem TID angehörten. Zudem sei keine Anklage gegen ihn erhoben worden, weshalb nicht ersichtlich sei, weshalb der TID oder eine andere srilankische Behörde nach seiner Entlassung noch ein Verfolgungsinteresse an ihm haben sollte.</w:t>
      </w:r>
    </w:p>
    <w:p>
      <w:r>
        <w:rPr>
          <w:b/>
        </w:rPr>
        <w:t>E. 5.2</w:t>
      </w:r>
    </w:p>
    <w:p>
      <w:r>
        <w:t>In der Beschwerde wird geltend gemacht, der Beschwerdeführer sei in seiner Heimat immer noch grossen Gefahren ausgesetzt. Er werde immer noch von zivil gekleideten Personen verfolgt, die sicher der Polizei angehörten. Auch eine Person, die freigelassen worden sei, könne von den srilankischen Behörden erneut festgenommen werden. Er befinde sich in einer heiklen psychischen Situation und es könne nicht ausgeschlossen werden, dass er wieder gefoltert werde. Er sei zweimal verhaftet worden und habe fast fünf Jahre im Gefängnis verbracht; sein Leben sei dadurch zerstört worden.</w:t>
      </w:r>
    </w:p>
    <w:p>
      <w:r>
        <w:rPr>
          <w:b/>
        </w:rPr>
        <w:t>E. 6.1</w:t>
      </w:r>
    </w:p>
    <w:p>
      <w:r>
        <w:t>Aufgrund der Aktenlage steht fest, dass der Beschwerdeführer von den srilankischen Behörden von April 1996 bis Mitte 1998 festgehalten wurde, da er der Zugehörigkeit zur LTTE verdächtigt wurde. Nach seiner gerichtlich angeordneten Entlassung aus dem Gefängnis lebte er offenbar unbehelligt in B._______, wo er am 22. Juli 2007 unter dem Verdacht, an der Planung terroristischer Aktivitäten beteiligt zu sein, festgenommen wurde. Er wurde wiederum auf gerichtliche Anordnung hin am 31. Mai 2010 freigelassen. Seither lebt er eigenen Angaben gemäss mehrheitlich bei einem Onkel in B._______.</w:t>
      </w:r>
    </w:p>
    <w:p>
      <w:r>
        <w:rPr>
          <w:b/>
        </w:rPr>
        <w:t>E. 6.2</w:t>
      </w:r>
    </w:p>
    <w:p>
      <w:r>
        <w:t>Wie das BFM in der angefochtenen Verfügung zu Recht festhielt, dient die Asylgewährung in der Schweiz nicht dem Ausgleich vergangener Unbill, sondern dem Schutz vor aktuell immer noch drohender Verfolgung.</w:t>
      </w:r>
    </w:p>
    <w:p>
      <w:r>
        <w:rPr>
          <w:b/>
        </w:rPr>
        <w:t>E. 6.2.1</w:t>
      </w:r>
    </w:p>
    <w:p>
      <w:r>
        <w:t>Insofern der Beschwerdeführer die Vermutung äusserte, er werde von Polizeiangehörigen beziehungsweise Leuten der TID gesucht, erscheint dies aus mehreren Gründen als wenig wahrscheinlich. Gemäss einem Schreiben der Generalstaatsanwaltschaft vom 11. Mai 2010 ordnete diese an, dass gegen den Beschwerdeführer keine Anklage erhoben wird. Aufgrund der lange dauernden Untersuchungshaft darf zudem davon ausgegangen werden, dass der TID an seinem Fall kein grosses Interesse gehabt haben dürfte, da er nach seiner Verlegung aus dem C._______-Gefängnis im Juli 2008 von diesem nicht mehr befragt beziehungsweise behelligt wurde. Es scheint auch nicht wahrscheinlich, dass sich die Leute des TID bei seiner Mutter nach ihm erkundigen. Würde der TID davon ausgehen, dass der Beschwerdeführer tatsächlich Kontakte zu ehemaligen LTTE-Kreisen pflegte oder gar ein Kadermitglied dieser Organisation war, wären schon während seiner Haftzeit weitere Nachforschungen betrieben worden. Auch das Verhalten des Beschwerdeführers selbst spricht gegen eine Gefährdung durch die srilankischen Sicherheitsbehörden. So wohnte er nach seiner Freilassung eigenen Angaben gemäss bei seinem Onkel. Würde sich der TID tatsächlich für den Aufenthaltsort des Beschwerdeführers interessieren, würde er wohl bei seinen Verwandten und Freunden nach ihm suchen beziehungsweise deren Wohnungen oder Häuser überwachen. Aus Sicht des Beschwerdeführers wäre es deshalb riskant gewesen, sich längerfristig bei seinem Onkel aufzuhalten. Zudem soll er sich eigenen Angaben gemäss täglich in das Quartier begeben, in dem sich sein Haus befindet, da er dort Freunde habe (act. B7/9 S. 6 f.). Dies lässt es als überwiegend unwahrscheinlich erscheinen, dass sich der Beschwerdeführer ernsthaft vor behördlicher Verfolgung fürchtet, da in diesem Quartier gemäss seinen Angaben regelmässig Kontrollen durch die Armee durchgeführt werden (act. B7/9 S. 7). Des Weiteren teilte der Beschwerdeführer der schweizerischen Botschaft in Colombo am 26. Oktober 2010 mit, er wohne seit dem 10. September 2010 an einer neuen Adresse in B._______, also in dem Quartier, in dem er bekannt ist. Im Fall einer behördlichen Suche wäre die Gefahr einer Entdeckung in diesem Quartier wohl am grössten.</w:t>
      </w:r>
    </w:p>
    <w:p>
      <w:r>
        <w:rPr>
          <w:b/>
        </w:rPr>
        <w:t>E. 6.2.2</w:t>
      </w:r>
    </w:p>
    <w:p>
      <w:r>
        <w:t>Das Bundesverwaltungsgericht zieht aufgrund der gesamten Aktenlage den Schluss, dass der Beschwerdeführer in seinem Heimatland zurzeit keiner (behördlichen) Verfolgung ausgesetzt ist und in absehbarer Zukunft auch nicht mit solcher zu rechnen hat. Er wurde am 31. Mai 2010 aus mehrjähriger Untersuchungshaft entlassen, da gegen ihn keine Anklage erhoben und das Verfahren offenbar verschleppt wurde. Seitens der srilankischen Behörden liegt gegen ihn demnach nichts vor. Die von ihm geltend gemachte Suche nach ihm erscheint aus den vorstehend genannten Gründen als überwiegend unwahrscheinlich und somit unglaubhaft.</w:t>
      </w:r>
    </w:p>
    <w:p>
      <w:r>
        <w:rPr>
          <w:b/>
        </w:rPr>
        <w:t>E. 7.1</w:t>
      </w:r>
    </w:p>
    <w:p>
      <w:r>
        <w:t>Gestützt auf die vorstehenden Erwägungen ist zusammenfassend festzustellen, dass der Beschwerdeführer keine aktuelle und unmittelbare Gefährdung im Sinne von Art. 3 AsylG darzulegen vermochte.</w:t>
      </w:r>
    </w:p>
    <w:p>
      <w:r>
        <w:rPr>
          <w:b/>
        </w:rPr>
        <w:t>E. 7.2</w:t>
      </w:r>
    </w:p>
    <w:p>
      <w:r>
        <w:t>Das BFM hat dem Beschwerdeführer demnach die Einreise in die Schweiz zu Recht verweigert beziehungsweise das Asylgesuch abgelehnt und namentlich den ihm zustehenden weiten Ermessensspielraum nicht überschritten. Zwar erkennt das Bundesverwaltungsgericht, dass seine Situation in Sri Lanka aufgrund der Vorgeschichte für ihn belastend ist. Dieser Umstand betrifft jedoch einen beachtlichen Teil der tamilischen Zivilbevölkerung in Sri Lanka, weshalb die vorinstanzliche Verfügung angesichts der Praxis im Bereich der Auslandverfahren, bei denen sich die Frage von allfälligen Wegweisungsvollzugshindernissen gerade nicht stellt, zu bestätigen ist. Es erübrigt sich, auf die weiteren Vorbringen und Beweismittel im einzelnen einzugehen, da sie an dieser rechtlichen Würdigung nichts zu ändern vermögen. Zusammenfassend ist festzuhalten, dass die Schutzbedürftigkeit des Beschwerdeführers im Sinne von Art. 20 i.V.m. Art. 3 AsylG als nicht gegeben zu qualifizieren ist und auch keine anderen Gründe die Erteilung einer Einreisebewilligung indizieren würden.</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