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D-8643/2007 vom 12. Februar 2010</w:t>
      </w:r>
    </w:p>
    <w:p>
      <w:r>
        <w:t>Bundesverwaltungsgericht, 2010-02-12, DE</w:t>
      </w:r>
    </w:p>
    <w:p>
      <w:r>
        <w:rPr>
          <w:b/>
        </w:rPr>
        <w:t xml:space="preserve">Quelle: </w:t>
      </w:r>
      <w:r>
        <w:t>https://mcp.opencaselaw.ch/entscheid/bvger_D-8643_2007</w:t>
      </w:r>
    </w:p>
    <w:p>
      <w:r>
        <w:t>FR: TAF D-8643/2007 du 12 février 2010</w:t>
      </w:r>
    </w:p>
    <w:p>
      <w:r>
        <w:t>IT: TAF D-8643/2007 del 12 febbraio 2010</w:t>
      </w:r>
    </w:p>
    <w:p>
      <w:pPr>
        <w:pStyle w:val="Heading2"/>
      </w:pPr>
      <w:r>
        <w:t>Regeste</w:t>
      </w:r>
    </w:p>
    <w:p>
      <w:r>
        <w:t>Nichteintreten auf Asylgesuch und Wegweisung</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2.1</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108 Abs. 2 AsylG sowie Art. 105 AsylG i.V.m. Art. 37 VGG und Art. 48 Abs. 1 und 52 VwVG). Auf die Beschwerde ist - unter Vorbehalt der Erwägungen 4.1, 4.3 und 9 -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Das BFM hat den angefochtenen Nichteintretensentscheid auf der Grundlage von Art. 32 Abs. 2 Bst. a AsylG getroffen. Bei Beschwerden gegen solche Nichteintretensentscheide ist die Beurteilungskompetenz der Beschwerdeinstanz grundsätzlich auf die Frage beschränkt, ob die Vorinstanz zu Recht auf das Asylgesuch nicht eingetreten ist, wogegen die Vorinstanz die Frage der Wegweisung und des Vollzugs materiell prüft, weshalb dem Bundesverwaltungsgericht diesbezüglich volle Kognition zukommt. Bei Begründetheit der Beschwerde ist die angefochtene Verfügung aufzuheben und die Sache zu neuer Entscheidung an die Vorinstanz zurückzuweisen ist (vgl. Entscheidungen und Mitteilungen der Schweizerischen Asylrekurskommission [EMARK] 2004 Nr. 34 E. 2.1. S. 240 f.). Indessen ist im Falle des Nichteintretens auf ein Asylgesuch gestützt auf Art. 32 Abs. 2 Bst. a und Abs. 3 AsylG über das Nichtbestehen der Flüchtlingseigenschaft abschliessend materiell zu entscheiden, soweit dies im Rahmen einer summarischen Prüfung möglich ist (vgl. BVGE 2007/8 insb. E. 5.6.5 S. 90 f.). In einem entsprechenden Beschwerdeverfahren bildet dementsprechend - ungeachtet der vorzunehmenden Überprüfung eines formellen Nichteintretensentscheides - auch die Flüchtlingseigenschaft Prozessgegenstand (vgl. BVGE 2007/8 E. 2.1 S. 73). Nach dem Gesagten ist auf die Beschwerde nicht einzutreten, soweit darin die Asylgewährung beantragt wird.</w:t>
      </w:r>
    </w:p>
    <w:p>
      <w:r>
        <w:rPr>
          <w:b/>
        </w:rPr>
        <w:t>E. 4.2</w:t>
      </w:r>
    </w:p>
    <w:p>
      <w:r>
        <w:t>Die Beschwerde hat aufschiebende Wirkung hat (Art. 42 AsylG) und das BFM hat einer allfälligen Beschwerde die aufschiebende Wirkung nicht entzogen (Art. 55 Abs. 2 VwVG), weshalb auf den Eventualantrag auf Wiederherstellung der aufschiebenden Wirkung ebenfalls nicht einzutreten ist,</w:t>
      </w:r>
    </w:p>
    <w:p>
      <w:r>
        <w:rPr>
          <w:b/>
        </w:rPr>
        <w:t>E. 5</w:t>
      </w:r>
    </w:p>
    <w:p>
      <w:r>
        <w:t>Eine Prüfung der Akten ergibt, dass die vorinstanzliche Verfügung als zutreffend zu bestätigen ist.</w:t>
      </w:r>
    </w:p>
    <w:p>
      <w:r>
        <w:rPr>
          <w:b/>
        </w:rPr>
        <w:t>E. 5.1</w:t>
      </w:r>
    </w:p>
    <w:p>
      <w:r>
        <w:t>In der Beschwerde wird eingewendet, der Beschwerdeführer habe vor über zwei Jahren um Asyl nachgesucht. Wenn keine Anzeichen für eine Verfolgung vorliegen und die Vorbringen tatsächlich so unglaubhaft sein würden, wie im vorinstanzlichen Entscheid dargestellt, hätte der Nichteintretensentscheid viel früher gefällt werden müssen. Aus den protokollierten Aussagen des Beschwerdeführers ginge hervor, dass er wirklich in Gefahr sei, von Sektenmitgliedern ermordet zu werden (vgl. Beschwerde, S. 4). Vorliegend wird zu Recht eingewendet, der Nichteintretensentscheid sei in Verletzung der in der damals geltenden Fassung von Art. 37 AsylG festgesetzten Entscheidungsfrist von 20 Arbeitstagen nach der Gesuchstellung (gemäss der seit 1. Januar 2008 in Kraft stehenden Fassung von Art. 37: zehn Arbeitstage) viel zu spät - erst nach über zwei Jahren seit der kantonalen Anhörung, ohne dass das Verfahren besondere Abklärungen erfordert hätte - ergangen. Jedoch handelt es sich gemäss der immer noch gültigen, in EMARK 2002 Nr. 15 veröffentlichten Rechtsprechung um eine Ordnungs- und nicht um eine Verwirkungsfrist. Somit können Nichteintretensentscheide durchaus nach Ablauf der 20-tägigen Entscheidungsfrist gefällt werden. Gemäss der erwähnten Rechtsprechung ist auf ein Asylgesuch bei gegebenen Voraussetzungen für einen Nichteintretensentscheid gemäss Art. 32-35 AsylG auch dann nicht einzutreten, wenn die erwähnte Entscheidungsfrist längst abgelaufen ist, indessen kann die Anordnung des sofortigen Vollzugs den Grundsatz der Verhältnismässigkeit verletzen, wenn diese Frist erheblich überschritten wird. Vorliegend wurde jedoch eine Ausreisefrist von 30 Tagen gesetzt, wodurch der Grundsatz der Verhältnismässigkeit gewahrt wurde.</w:t>
      </w:r>
    </w:p>
    <w:p>
      <w:r>
        <w:rPr>
          <w:b/>
        </w:rPr>
        <w:t>E. 5.2</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entweder glaubhaft machen können, sie seien dazu aus entschuldbaren Gründen nicht in der Lage (Art. 32 Abs. 3 Bst. a AsylG), oder auf Grund der Anhörung sowie gestützt auf Art. 3 und 7 AsylG die Flüchtlingseigenschaft festgestellt wird (Art. 32 Abs. 3 Bst. b AsylG) oder aber sich auf Grund der Anhörung erweist, dass zusätzliche Abklärungen zur Feststellung der Flüchtlingseigenschaft oder eines Wegweisungsvollzugshindernisses nötig sind (Art. 32 Abs. 3 Bst. c AsylG).</w:t>
      </w:r>
    </w:p>
    <w:p>
      <w:r>
        <w:rPr>
          <w:b/>
        </w:rPr>
        <w:t>E. 5.3</w:t>
      </w:r>
    </w:p>
    <w:p>
      <w:r>
        <w:t>Trotz entsprechender Aufforderung hat der Beschwerdeführer innerhalb von 48 Stunden nach Einreichung des Asylgesuchs keinerlei Reisepapiere oder Identitätsdokumente im oben genannten Sinne abgegeben. Zudem ergeben sich keine Anhaltspunkte für das Vorliegen entschuldbarer Gründe. Die im Zusammenhang mit den Reise- beziehungsweise Identitätspapieren abgefassten vorinstanzlichen Erwägungen, auf welche zwecks Vermeidung von Wiederholungen verwiesen werden kann, erweisen sich nach einer Überprüfung der Akten als zutreffend. Daran vermag der in der Beschwerde erhobene Einwand, der Beschwerdeführer habe seit längerer Zeit (...) versucht, mit (...) Kontakt aufzunehmen, welcher ihm gesagt habe, er könne in Kenia nichts für ihn tun, nichts zu ändern. In diesem Zusammenhang ist daran zu erinnern, dass der Beschwerdeführer (...) Geschwister im Heimatstaat besitzt.</w:t>
      </w:r>
    </w:p>
    <w:p>
      <w:r>
        <w:rPr>
          <w:b/>
        </w:rPr>
        <w:t>E. 5.4</w:t>
      </w:r>
    </w:p>
    <w:p>
      <w:r>
        <w:t>Sodann konnte die Vorinstanz im vorliegenden Fall aufgrund der Aktenlage, wie sie sich nach der Anhörung vom 16. November 2005 präsentierte, unter Verzicht auf zusätzliche tatbestandliche oder rechtliche Abklärungen im Rahmen einer bloss summarischen Prüfung den Schluss ziehen, dass der Beschwerdeführer die Flüchtlingseigenschaft offenkundig nicht erfüllt und einem Vollzug der Wegweisung ebenso keine Hindernisse entgegenstehen (vgl. zu den Anforderungen betreffend Art. 32 Abs. 3 Bstn. b und c AsylG: BVGE 2007/8 E. 5.5. und 5.6.). Die Überprüfung der Akten in diesem Kontext ergibt, dass die Vorinstanz die Vorbringen des Beschwerdeführers zu Recht als offensichtlich unglaubhaft qualifizierte, wobei wiederum auf die entsprechenden Erwägungen des BFM in der angefochtenen Verfügung verwiesen werden kann. Die Ausführungen in der Beschwerde sind weder geeignet, die von der Vorinstanz aufgezeigten Aussagewidersprüche noch die mangelhaften Kenntnisse des Beschwerdeführers im Zusammenhang mit der Sekte plausibel zu erklären, umso weniger, als er zu Protokoll gab, dass er bereits im Jahr (...) offiziell in diese aufgenommen worden sei und wisse, was dort vor sich gehe (vgl. Vorakten (...)). Aus den Ausführungen in der Beschwerdeschrift ergeben sich keine Erkenntnisse, die zu einer von der Vorinstanz abweichenden Beurteilung führen könnten. Bei dieser Sachlage erübrigen sich zusätzliche Abklärungen zur Feststellung der Flüchtlingseigenschaft oder eines Wegweisungsvollzugshindernisses im Sinne von Art. 32 Abs. 3 Bst. c AsylG. Das BFM ist daher zu Recht gestützt auf Art. 32 Abs. 2 Bst. a i.V.m. Art. 32 Abs. 3 AsylG auf das Asylgesuch des Beschwerdeführers nicht eingetreten.</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Kenia ist demnach unter dem Aspekt von Art. 5 AsylG rechtmässig.</w:t>
      </w:r>
    </w:p>
    <w:p>
      <w:r>
        <w:rPr>
          <w:b/>
        </w:rPr>
        <w:t>E. 7.2.3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Das ist jedoch vorliegend nicht der Fall, zumal - wie oben unter Ziff. 5 der Erwägungen ausgeführt wurde - die geltend gemachte Verfolgungssituation nicht geglaubt werden kann.</w:t>
      </w:r>
    </w:p>
    <w:p>
      <w:r>
        <w:rPr>
          <w:b/>
        </w:rPr>
        <w:t>E. 7.2.4</w:t>
      </w:r>
    </w:p>
    <w:p>
      <w:r>
        <w:t>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Weder die in Kenia herrschende politische Situation noch andere Gründe sprechen gegen die Zumutbarkeit des Wegweisungsvollzugs dorthin. Zwar wurde in der Präsidentenwahl vom 27. Dezember 2006 Präsident Mwai Kibaki mit einer knappen Mehrheit im Amt bestätigt, wobei die Opposition unter der Führung von Raila Odinga und internationale Wahlbeobachter von massiven Wahlfälschungen sprachen. Sodann kam es nach der Bekanntgabe des Wahlergebnisses in ganz Kenia zu schweren Auseinandersetzungen zwischen Sicherheitskräften und Demonstranten. Schwerpunkt der gewalttätigen Auseinandersetzungen waren die Hauptstadt Nairobi und Kisumu. Angeheizt wurde die Situation durch ethnisch motivierte Gewaltakte in mehreren Landesteilen, die für einen Wechsel an der Spitze des politischen Systems stimmten. Sie richteten sich vor allem gegen Kikuyus, also Angehörige der Ethnie von Präsident Kibaki. Aus diesen Gründen und weil die weitere Entwicklung der Lage zum Zeitpunkt des Erlasses der Zwischenverfügung vom 8. Januar 2008 noch nicht absehbar war, erwies sich damals die Beschwerde vom 20. Dezember 2007 als nicht aussichtslos. Internationale Vermittlungsversuche hatten zunächst wenig Erfolg. Erst die hartnäckigen Bemühungen des ehemaligen UNO-Generalsekretärs Kofi Annan brachten die Kontrahenten Kibaki und Odinga zu ernsthaften Gesprächen und schliesslich Ende Februar 2008 zu einer Einigung über eine Beteiligung Odingas und dessen Oppositionsbündnisses Orange Democratic Movement (ODM) in der Regierung. Seither hat sich die Situation in Kenia normalisiert. Sodann erweist sich der Vollzug der Wegweisung unter Berücksichtigung der individuellen Umstände des Beschwerdeführers als zumutbar. Der noch junge Beschwerdeführer (...) betätigte sich als (...). Soweit aktenkundig leidet er an keinen schwerwiegenden gesundheitlichen Problemen. Seine (...) Geschwister sind nach wie vor in Kenia wohnhaft. Mithin verfügt er dort über ein familiäres Beziehungsnetz. Von einer erfolgreichen sozialen und beruflichen Reintegration im Heimatstaat ist somit auszugehen.</w:t>
      </w:r>
    </w:p>
    <w:p>
      <w:r>
        <w:rPr>
          <w:b/>
        </w:rPr>
        <w:t>E. 7.3.2</w:t>
      </w:r>
    </w:p>
    <w:p>
      <w:r>
        <w:t>Angesichts der gesamten Umstände kann der Vollzug der Wegweisung mithin auch als zumutbar bezeichnet werden.</w:t>
      </w:r>
    </w:p>
    <w:p>
      <w:r>
        <w:rPr>
          <w:b/>
        </w:rPr>
        <w:t>E. 7.4</w:t>
      </w:r>
    </w:p>
    <w:p>
      <w:r>
        <w:t>Schliesslich ist der Vollzug der Wegweisung des Beschwerdeführers auch als möglich im Sinne von Art. 83 Abs. 2 AuG zu bezeichnen, da keine praktischen Vollzugshindernisse erkennbar sind, die einer Rückkehr in den Iran entgegenstehen könnten, und der Beschwerdeführer verpflichtet ist, sich bei den heimatlichen Behörden die notwendigen Reisepapiere zu beschaffen (Art. 8 Abs. 4 AsylG).</w:t>
      </w:r>
    </w:p>
    <w:p>
      <w:r>
        <w:rPr>
          <w:b/>
        </w:rPr>
        <w:t>E. 7.5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war.</w:t>
      </w:r>
    </w:p>
    <w:p>
      <w:r>
        <w:rPr>
          <w:b/>
        </w:rPr>
        <w:t>E. 9</w:t>
      </w:r>
    </w:p>
    <w:p>
      <w:r>
        <w:t>Der Beschwerdeführer beantragte in seiner Rechtsmitteleingabe unter anderem, die zuständige Behörde sei vorsorglich anzuweisen, die Kontaktaufnahme mit dem Heimatstaat sowie jede Datenweitergabe an denselben zu unterlassen.</w:t>
      </w:r>
    </w:p>
    <w:p>
      <w:r>
        <w:rPr>
          <w:b/>
        </w:rPr>
        <w:t>E. 9.1</w:t>
      </w:r>
    </w:p>
    <w:p>
      <w:r>
        <w:t>Personendaten von Asylsuchenden, anerkannten Flüchtlingen und Schutzbedürftigen werden dem Heimat- oder Herkunftsstaat nicht bekannt gegeben, wenn dadurch die betroffene Person oder ihre Angehörigen gefährdet würden, und über ein Asylgesuch keine Angaben gemacht werden dürfen (Art. 97 Abs. 1 AsylG). Jedoch kann die für die Organisation der Ausreise zuständige Behörde zwecks Beschaffung der für den Vollzug der Wegweisung notwendigen Reisepapiere mit dem Heimat- oder Herkunftsstaat Kontakt aufnehmen, wenn in erster Instanz das Vorliegen der Flüchtlingseigenschaft verneint wurde (Art. 97 Abs. 2 AsylG). Gemäss Art. 4 Abs. 1 der Verordnung vom 11. August 1999 über den Vollzug der Weg- und Ausweisung von ausländischen Personen (VVWA, SR 142.281) gilt das Vorliegen der Flüchtlingseigenschaft als verneint, wenn das Asylgesuch abgelehnt oder ein Nichteintretensentscheid verfügt wurde.</w:t>
      </w:r>
    </w:p>
    <w:p>
      <w:r>
        <w:rPr>
          <w:b/>
        </w:rPr>
        <w:t>E. 9.2</w:t>
      </w:r>
    </w:p>
    <w:p>
      <w:r>
        <w:t>Das BFM ist auf das Asylgesuch des Beschwerdeführers mit Verfügung vom 6. Dezember 2007 nicht eingetreten, weshalb formal die Voraussetzungen gemäss Art. 97 Abs. 2 AsylG erfüllt sind. Im Übrigen deutet aufgrund der dem Bundesverwaltungsgericht derzeit vorliegenden Akten nichts auf eine konkrete Gefährdung des Beschwerdeführers durch eine allfällige Bekanntgabe der in Art. 97 Abs. 3 Bstn. a-c AsylG erwähnten Personendaten gegenüber der zuständigen ausländischen Behörde hin. Folglich ist der in der Beschwerde mit keinem Wort begründete Antrag, die zuständige Behörde sei vorsorglich anzuweisen, die Kontaktaufnahme mit dem Heimatstaat sowie jegliche Datenweitergabe an denselben zu unterlassen, abzuweisen. Sodann geht aus den dem Gericht vorliegenden Akten nicht hervor, die Vorinstanz habe den Beschwerdeführer betreffende Daten an den Heimatstaat weitergegeben, weshalb auf das Eventualbegehren, er sei bei bereits erfolgter Datenweitergabe in einer separaten Verfügung zu informieren, mangels Rechtsschutzinteresses im Rahmen dieses Verfahrens nicht einzutreten ist.</w:t>
      </w:r>
    </w:p>
    <w:p>
      <w:r>
        <w:rPr>
          <w:b/>
        </w:rPr>
        <w:t>E. 10.1</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20. Dezember 2007 gestellte Gesuch um Gewährung der unentgeltlichen Prozessführung (Art. 65 Abs. 1 VwVG) gutzuheissen und auf die Auferlegung von Verfahrenskosten zu verzichten.</w:t>
      </w:r>
    </w:p>
    <w:p>
      <w:r>
        <w:rPr>
          <w:b/>
        </w:rPr>
        <w:t>E. 10.2</w:t>
      </w:r>
    </w:p>
    <w:p>
      <w:r>
        <w:t>Der bedürftigen Partei in einem nicht aussichtslosen Verfahren wird ein Anwalt bestellt wird, wenn es zur Wahrung ihrer Rechte notwendig ist (Art. 65 Abs. 2 VwVG). Für die Gewährung der unentgeltlichen Rechtsverbeiständung ist das Kriterium ausschlaggebend, ob die Partei zur Wahrung ihrer Rechte notwendigerweise der professionellen juristischen Hilfe eines Anwaltes bedarf (vgl. BGE 122 I 49 E. 2c S. 51 ff.; 120 Ia 43 E. 2a S. 44 ff.). In Verfahren, welche - wie das vorliegende - vom Untersuchungsgrundsatz beherrscht sind, sind strenge Massstäbe an die Gewährung der unentgeltlichen Rechtsverbeiständung anzusetzen sind (vgl. EMARK 2000 Nr. 6 sowie BGE 122 I 8 E. 2c S. 10). Zudem geht es im asylrechtlichen Beschwerdeverfahren normalerweise im Wesentlichen um die Feststellung des rechtserheblichen Sachverhalts. Daher sind besondere Rechtskenntnisse zur wirksamen Beschwerdeführung im Regelfall nicht unbedingt erforderlich, weshalb praxisgemäss die unentgeltliche Rechtsverbeiständung im Sinne von Art. 65 Abs. 2 VwVG nur in besonderen Fällen gewährt wird, in welchen in rechtlicher oder tatsächlicher Hinsicht erhöhte Schwierigkeiten bestehen. Das vorliegende Verfahren erschien weder in tatsächlicher noch in rechtlicher Hinsicht besonders komplex, weshalb das Gesuch um unentgeltliche Rechts-verbeiständung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