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D-8615/2010 vom 13. Januar 2011</w:t>
      </w:r>
    </w:p>
    <w:p>
      <w:r>
        <w:t>Bundesverwaltungsgericht, 2011-01-13, DE</w:t>
      </w:r>
    </w:p>
    <w:p>
      <w:r>
        <w:rPr>
          <w:b/>
        </w:rPr>
        <w:t xml:space="preserve">Quelle: </w:t>
      </w:r>
      <w:r>
        <w:t>https://mcp.opencaselaw.ch/entscheid/bvger_D-8615_2010</w:t>
      </w:r>
    </w:p>
    <w:p>
      <w:r>
        <w:t>FR: TAF D-8615/2010 du 13 janvier 2011</w:t>
      </w:r>
    </w:p>
    <w:p>
      <w:r>
        <w:t>IT: TAF D-8615/2010 del 13 gennaio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Bei Beschwerden gegen Nichteintretensentscheiden,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Schweizerischen Asylrekurskommission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die volle Kognition zukommt.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Spanien sei gestützt auf das Abkommen vom 26. Oktober 2004 zwischen der Schweizerischen Eidgenossenschaft und der Europäischen Gemeinschaft über die Kriterien und Verfahren zur Mitbestimmung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Spanien habe am 3. Dezember 2010 einer Übernahme des Beschwerdeführers zugestimmt. Die Rückführung habe - vorbehältlich einer allfälligen Unterbrechung (Art. 19 Abs. 3 Dublin II Verordnung) oder Verlängerung (Art. 19 Abs. 4 Dublin II Verordnung) - bis spätestens zum 3. Juni 2011 zu erfolgen.Dem Beschwerdeführer sei am 15. November 2010 das rechtliche Gehör gewährt worden. Dabei habe der Beschwerdeführer bemerkt, dass aus seiner Sicht keine Gründe gegen die Zuständigkeit Spaniens sprechen würden. Bezüglich einer Wegweisung nach Spanien äusserte er sich dahingehend, dass er nicht nach Spanien zurückkehren wolle, weil er dort keine Arbeit gehabt habe. Ansonsten gebe es keine Gründe, die gegen eine Rückkehr nach Spanien sprechen würden. Diese Vorbringen vermöchten weder die Zuständigkeit Spaniens noch die Zulässigkeit und die Zumutbarkeit der Rückkehr des Beschwerdeführers in dieses Land in Frage stellen. Demnach sei auf das Asylgesuch nicht einzutreten.Die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Spanien. Weder die in Spanien herrschende Situation noch andere Gründe sprächen gegen die Zumutbarkeit der Wegweisung in diesen Staat. Ausserdem sei der Vollzug der Wegweisung technisch möglich und praktisch durchführbar. Eine entsprechende Zustimmung Spaniens liege vor. Schliesslich hätten Beschwerden gegen Nichteintretensentscheide gemäss Art. 34 Abs. 2 gestützt auf Art. 107a AsylG keine aufschiebende Wirkung.</w:t>
      </w:r>
    </w:p>
    <w:p>
      <w:r>
        <w:rPr>
          <w:b/>
        </w:rPr>
        <w:t>E. 5.3</w:t>
      </w:r>
    </w:p>
    <w:p>
      <w:r>
        <w:t>Der Beschwerdeführer machte in der Rechtsmitteleingabe unter anderem geltend, er befürchte, bei einer Rückkehr nach Spanien müsse er im Freien übernachten. Dies belaste ihn psychisch sehr.</w:t>
      </w:r>
    </w:p>
    <w:p>
      <w:r>
        <w:rPr>
          <w:b/>
        </w:rPr>
        <w:t>E. 5.4.1</w:t>
      </w:r>
    </w:p>
    <w:p>
      <w:r>
        <w:t>Gemäss den Akten steht fest, dass der Beschwerdeführer am 4. September 2009 in Spanien eingereist ist und dort am 13. Oktober 2009 ein Asylgesuch gestellt hat (vgl. A11/ S. 4). Die spanischen Behörden wiesen sein Asylgesuch ab, woraufhin er in C._______ Beschwerde erhob. Den Ausgang des Verfahrens wartete er jedoch nicht ab, vielmehr verliess er C._______ am 5. November 2010 und begab sich von dort aus in die Schweiz (vgl. A11/ S. 3). Die spanischen Behörden haben am 3. Dezember 2010 einer Rückübernahme des Beschwerdeführers zugestimmt. Der Beschwerdeführer kann somit ohne Weiteres in den Dublin-Staat (Spanien) ausreisen, welcher für die Prüfung seines Asylantrags staatsvertraglich zuständig ist. Spanien ist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Spanien sich nicht an die daraus resultierenden massgebenden völkerrechtlichen Bestimmungen, insbesondere an die einschlägigen Normen der EMRK oder an das Rückschiebungsverbot, halten würde. Im Übrigen ist bezüglich der vom Beschwerdeführer geäusserten Befürchtung festzuhalten, dass er in Spanien nicht einfach auf der Strasse leben muss, da er den spanischen Behörden übergeben wird, die damit erst die Möglichkeit haben, sich gebührend um ihn zu kümmern und sein Asylverfahren weiterzuführen. Im Weiteren hat der Beschwerdeführer mit dem in Spanien verbrachten rund vierzehnmonatigen Aufenthalt selbst gezeigt, dass er ein Leben in diesem Staat nicht als unzumutbar erachtet. Schliesslich spricht auch der Umstand, in Spanien weniger gut versorgt zu werden als in der Schweiz, nicht gegen eine Wegweisung dorthin, zumal ein allenfalls niedrigerer Lebensstandard als in der Schweiz kein Wegweisungshindernis darstellt. Bei Mittellosigkeit steht es dem Beschwerdeführer - in Übereinstimmung mit dem BFM - offen, sich an die dafür zuständigen Stellen beziehungsweise Organisationen zu wenden. Der Vollzug der Wegweisung nach Spanien erweist sich somit in Berücksichtigung sozialer Aspekte unter dem Aspekt von Art. 3 EMRK als zulässig, weshalb vorliegend kein Anlass zum Selbsteintritt besteht.</w:t>
      </w:r>
    </w:p>
    <w:p>
      <w:r>
        <w:rPr>
          <w:b/>
        </w:rPr>
        <w:t>E. 6</w:t>
      </w:r>
    </w:p>
    <w:p>
      <w:r>
        <w:t>Das BFM ist in Anwendung von Art. 34 Abs. 2 Bst. d AsylG demnach zu Recht auf das Asylgesuch des Beschwerdeführers nicht eingetreten.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 was in casu nicht vorliegt.</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(vgl. Art. 106 AsylG), weshalb die Beschwerde abzuweisen ist.</w:t>
      </w:r>
    </w:p>
    <w:p>
      <w:r>
        <w:rPr>
          <w:b/>
        </w:rPr>
        <w:t>E. 9</w:t>
      </w:r>
    </w:p>
    <w:p>
      <w:r>
        <w:t>Aufgrund vorstehender Erwägungen erweist sich die Beschwerde als aussichtslos. Bei diesem Ausgang des Verfahrens sind die Kosten dem Beschwerdeführer aufzuerlegen (Art. 63 Abs. 1 VwVG) und auf insgesamt Fr. 600.00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