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D-8606/2010 vom 21. April 2011</w:t>
      </w:r>
    </w:p>
    <w:p>
      <w:r>
        <w:t>Bundesverwaltungsgericht, 2011-04-21, DE</w:t>
      </w:r>
    </w:p>
    <w:p>
      <w:r>
        <w:rPr>
          <w:b/>
        </w:rPr>
        <w:t xml:space="preserve">Quelle: </w:t>
      </w:r>
      <w:r>
        <w:t>https://mcp.opencaselaw.ch/entscheid/bvger_D-8606_2010</w:t>
      </w:r>
    </w:p>
    <w:p>
      <w:r>
        <w:t>FR: TAF D-8606/2010 du 21 avril 2011</w:t>
      </w:r>
    </w:p>
    <w:p>
      <w:r>
        <w:t>IT: TAF D-8606/2010 del 21 aprile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und Art. 108 Abs. 1 AsylG, Art. 48 Abs. 1 sowie Art. 52 VwVG). Unter Vorbehalt der nachstehenden Erwägung (1.3.) ist auf die Beschwerde einzutreten.</w:t>
      </w:r>
    </w:p>
    <w:p>
      <w:r>
        <w:rPr>
          <w:b/>
        </w:rPr>
        <w:t>E. 1.3</w:t>
      </w:r>
    </w:p>
    <w:p>
      <w:r>
        <w:t>Die Feststellung der Flüchtlingseigenschaft sowie die Gewährung von Asyl bilden nicht Gegenstand des Verfahrens (vgl. I, Bst. A hiervor). Auf die entsprechenden Begehren ist daher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 Karin Scherrer, in: Bernhard Waldmann/Philippe Weissenberger [Hrsg.], VwVG, Praxiskommentar zum Bundesgesetz über das Verwaltungsverfahren, Zürich/Basel/Genf 2009, Art. 66 Rz. 16 f.).</w:t>
      </w:r>
    </w:p>
    <w:p>
      <w:r>
        <w:rPr>
          <w:b/>
        </w:rPr>
        <w:t>E. 4.1</w:t>
      </w:r>
    </w:p>
    <w:p>
      <w:r>
        <w:t>Wie aus der Sachverhaltsdarstellung dieses Urteils (vgl. I - V) hervorgeht, beriefen sich die Beschwerdeführenden stets auf wegweisungsrechtliche Hindernisgründe, welche ihnen bereits vor Erlass des Urteils des Bundesverwaltungsgerichts vom 19. Juni 2009 (D-3369/2006) bekannt waren und im besagten Urteil - falls geltend gemacht - einer Würdigung unterzogen wurden. Ebenfalls erfuhren die im ordentlichen Verfahren unerwähnt gebliebenen und erst im Rahmen der nachträglich eingeleiteten Verfahren vorgebrachten Hindernisgründe eine Würdigung. Insbesondere ist dabei auf die Zwischenverfügung vom 21. Dezember 2010 (vgl. V, Bst. J hiervor) zu verweisen, wo im Zusammenhang mit der gestützt auf ein ärztliches Attest vorgebrachten, seit dem Jahr 2003 medikamentös behandelten gesundheitlichen Beeinträchtigung des Beschwerdeführers (A._______) Begründungselemente angeführt wurden, aufgrund derer die wiedererwägungsrechtliche Relevanz der Vorbringen der Beschwerdeführenden zusätzlich in Abrede zu stellen ist. Nicht unerwähnt bleiben darf in diesem Zusammenhang letztlich, dass die Beschwerdeführenden mit Ausnahme der Zeitspanne bis zum erstinstanzlichen Asylentscheid (29. März 2004) stets auf professionelle Hilfe für die Wahrnehmung und Durchsetzung ihrer Interesse zählen konnten. Die den Beschwerdeführenden in den diversen von ihnen eingeleiteten Verfahren wiederholt entgegengehaltene Begründung, wonach eine Wiedererwägung nicht in Betracht falle, wenn lediglich eine neue Würdigung der beim früheren Entscheid bereits bekannten Tatsachen herbeigeführt werden soll oder Gründe angeführt würden, die bereits in einem ordentlichen Beschwerdeverfahren gegen die frühere Verfügung hätten geltend gemacht werden können (vgl. EMARK 2003 Nr. 17 E. 2b S. 104), gibt demnach zu keinen Beanstandungen Anlass.</w:t>
      </w:r>
    </w:p>
    <w:p>
      <w:r>
        <w:rPr>
          <w:b/>
        </w:rPr>
        <w:t>E. 4.2</w:t>
      </w:r>
    </w:p>
    <w:p>
      <w:r>
        <w:t>Keine Änderung der angefochtenen Verfügung vermag die Eingabe vom 4. Januar 2011 zu bewirken (vgl. V, Bst. K hiervor). Obschon Grund für die Aufhebung der zuvor ergangenen Zwischenverfügung mit ihren Anordnungen (Nichtaussetzung des Wegweisungsvollzugs, Abweisung des Gesuchs um unentgeltliche Rechtspflege, Kostenvorschusserhebung), erweist sich die Eingabe respektive die darin angeführte Argumentation unter wiedererwägungsrechtlichen Gesichtspunktenabe im Nachhinein als unbegründet. Den Beschwerdeführenden waren die von der Vormundschaftsbehörde getroffenen Kinderschutzmassnahmen bereits vor Erlass des Urteils des Bundesverwaltungsgerichts vom 19. Juni 2009 bekannt (vgl. II, Bst. B hiervor) und der Migrationsdienst des Kantons J._______ erachtete in seinem Entscheid vom 2. Februar 2010 - in Kenntnis dieser Umstände - die Voraussetzungen für eine Aufenthaltsregelung gemäss Art. 14 Abs. 2 AsylG als nicht erfüllt (vgl. II, Bst. C hiervor). Ebenfalls ergingen spätestens nach Einleitung des zweiten Wiedererwägungsverfahrens die Beurteilungen der Asylbehörden im Falle der Beschwerdeführenden im Bewusstsein dieses Sachverhaltselements (vgl. IV, Bst. F hiervor). Vor diesem Hintergrund - das Vorliegen einer wesentlich veränderten Sachlage ist zu verneinen - können die Beschwerdeführenden nichts zu ihren Gunsten ableiten. Es erübrigen sich daher weitere Erörterungen.</w:t>
      </w:r>
    </w:p>
    <w:p>
      <w:r>
        <w:rPr>
          <w:b/>
        </w:rPr>
        <w:t>E. 4.3</w:t>
      </w:r>
    </w:p>
    <w:p>
      <w:r>
        <w:t>Zusammenfassend ist festzustellen, dass es den Beschwerde­führenden nicht gelungen ist, eine wiedererwägungsrechtlich relevante Sachlage darzulegen, welche es rechtfertigen würde, die rechtskräfti­ge vorinstanzliche Verfügung vom 29. März 2004 aufzuheben. Das BFM ist zu Recht auf das Wiedererwägungsgesuch der Beschwerde­führenden vom 16. September 2010 nicht eingetreten.</w:t>
      </w:r>
    </w:p>
    <w:p>
      <w:r>
        <w:rPr>
          <w:b/>
        </w:rPr>
        <w:t>E. 5</w:t>
      </w:r>
    </w:p>
    <w:p>
      <w:r>
        <w:t>Aus diesen Erwägungen ergibt sich, dass die angefochtene Verfügung Bundesrecht nicht verletzt, den rechtserheblichen Sachverhalt richtig und vollständig feststellt und angemessen ist (Art. 106 AsylG). Die Beschwerde ist abzuweisen, soweit darauf einzutreten ist.</w:t>
      </w:r>
    </w:p>
    <w:p>
      <w:r>
        <w:rPr>
          <w:b/>
        </w:rPr>
        <w:t>E. 6</w:t>
      </w:r>
    </w:p>
    <w:p>
      <w:r>
        <w:t>In Berücksichtigung der Besonderheit des vorliegenden Falles ist in Anwendung von Art. 63 Abs. 1 in fine VwVG sowie Art. 6 Bst. b des Reglements vom 21. Februar 2008 über die Kosten und Entschädigungen vor dem Bundesverwaltungsgericht (VGKE, SR 173.320.2) auf die Auferlegung von Verfahrenskosten zu verzichten, womit das Gesuch um Gewährung der unentgeltlichen Rechtspflege gegenstandslos geworden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