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D-859/2020 vom 20. Januar 2020</w:t>
      </w:r>
    </w:p>
    <w:p>
      <w:r>
        <w:t>Bundesverwaltungsgericht, 2020-01-20, IT</w:t>
      </w:r>
    </w:p>
    <w:p>
      <w:r>
        <w:rPr>
          <w:b/>
        </w:rPr>
        <w:t xml:space="preserve">Quelle: </w:t>
      </w:r>
      <w:r>
        <w:t>https://mcp.opencaselaw.ch/entscheid/bvger_D-859_2020_d20200120</w:t>
      </w:r>
    </w:p>
    <w:p>
      <w:r>
        <w:t>FR: TAF D-859/2020 du 20 janvier 2020</w:t>
      </w:r>
    </w:p>
    <w:p>
      <w:r>
        <w:t>IT: TAF D-859/2020 del 20 gennaio 2020</w:t>
      </w:r>
    </w:p>
    <w:p>
      <w:pPr>
        <w:pStyle w:val="Heading2"/>
      </w:pPr>
      <w:r>
        <w:t>Regeste</w:t>
      </w:r>
    </w:p>
    <w:p>
      <w:r>
        <w:t>Asilo (senza esecuzione dell'allontanamento) | Asilo (senza esecuzione dell'allontanamento); decisione della SEM del 20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750.− sono poste a carico dei ricorrenti e prelevate sull’anticipo spese di medesimo importo versato il 6 ottobre 2021.</w:t>
      </w:r>
    </w:p>
    <w:p>
      <w:r>
        <w:rPr>
          <w:b/>
        </w:rPr>
        <w:t>E. 3</w:t>
      </w:r>
    </w:p>
    <w:p>
      <w:r>
        <w:t>Questa sentenza è comunicata ai ricorrenti,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