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D-857/2024 vom 26. April 2024</w:t>
      </w:r>
    </w:p>
    <w:p>
      <w:r>
        <w:t>Bundesverwaltungsgericht, 2024-04-26, FR</w:t>
      </w:r>
    </w:p>
    <w:p>
      <w:r>
        <w:rPr>
          <w:b/>
        </w:rPr>
        <w:t xml:space="preserve">Quelle: </w:t>
      </w:r>
      <w:r>
        <w:t>https://mcp.opencaselaw.ch/entscheid/bvger_D-857_2024</w:t>
      </w:r>
    </w:p>
    <w:p>
      <w:r>
        <w:t>FR: TAF D-857/2024 du 26 avril 2024</w:t>
      </w:r>
    </w:p>
    <w:p>
      <w:r>
        <w:t>IT: TAF D-857/2024 del 26 aprile 2024</w:t>
      </w:r>
    </w:p>
    <w:p>
      <w:pPr>
        <w:pStyle w:val="Heading2"/>
      </w:pPr>
      <w:r>
        <w:t>Regeste</w:t>
      </w:r>
    </w:p>
    <w:p>
      <w:r>
        <w:t>Asile (divers)</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 présent litige porte également sur la rectification des données personnelles du recourant, à savoir sa date de naissance, au sens de la LPD (RS 235.1), contenues dans SYMIC (cf. art. 4 al. 2 let. a de l'ordonnance du 12 avril 2006 sur le système d'information central sur la migration [ci-après : ordonnance SYMIC ; RS 142.513]). Dans cette matière, le Tribunal ne statue pas de manière définitive, une voie de droit étant ouverte au Tribunal fédéral (cf. art. 82 ss LTF ; arrêt du TF 1C_452/2021 du 23 novembre 2022 consid. 1).</w:t>
      </w:r>
    </w:p>
    <w:p>
      <w:r>
        <w:rPr>
          <w:b/>
        </w:rPr>
        <w:t>E. 1.3</w:t>
      </w:r>
    </w:p>
    <w:p>
      <w:r>
        <w:t>A moins que la LAsi n'en dispose autrement s'agissant de l'asile, la procédure devant le Tribunal est régie par la PA et la LTAF (cf. art. 6 LAsi, 41 al. 6 LPD et art. 37 LTAF).</w:t>
      </w:r>
    </w:p>
    <w:p>
      <w:r>
        <w:rPr>
          <w:b/>
        </w:rPr>
        <w:t>E. 1.4</w:t>
      </w:r>
    </w:p>
    <w:p>
      <w:r>
        <w:t>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 Le grief d'inopportunité, en revanche, est soustrait à l'examen du Tribunal dans les causes relevant du domaine de l'asile (cf. ATAF 2020 VII/4 consid. 2.1 in fine).</w:t>
      </w:r>
    </w:p>
    <w:p>
      <w:r>
        <w:rPr>
          <w:b/>
        </w:rPr>
        <w:t>E. 3.1</w:t>
      </w:r>
    </w:p>
    <w:p>
      <w:r>
        <w:t>La nouvelle LPD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11 janvier 2024, le nouveau droit s'applique.</w:t>
      </w:r>
    </w:p>
    <w:p>
      <w:r>
        <w:rPr>
          <w:b/>
        </w:rPr>
        <w:t>E. 3.2</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D-5571/2023 du 12 février 2024 consid. 3.1).</w:t>
      </w:r>
    </w:p>
    <w:p>
      <w:r>
        <w:rPr>
          <w:b/>
        </w:rPr>
        <w:t>E. 3.3</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digne de protection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TAF E-5633/2023 du 31 janvier 2024 consid. 2.2).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TAF E-425/2024 du 30 janvier 2024 consid. 2.2 et réf. cit.).</w:t>
      </w:r>
    </w:p>
    <w:p>
      <w:r>
        <w:rPr>
          <w:b/>
        </w:rPr>
        <w:t>E. 3.4</w:t>
      </w:r>
    </w:p>
    <w:p>
      <w:r>
        <w:t>L'art. 41 al. 4 LPD dispose par ailleurs que si ni l'exactitude, ni l'inexactitude d'une donnée personnelle ne peut être apportée, l'organe fédéral doit ajouter à la donnée la mention de son caractère litigieux.</w:t>
      </w:r>
    </w:p>
    <w:p>
      <w:r>
        <w:rPr>
          <w:b/>
        </w:rPr>
        <w:t>E. 3.5</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w:t>
      </w:r>
    </w:p>
    <w:p>
      <w:r>
        <w:rPr>
          <w:b/>
        </w:rPr>
        <w:t>E. 4.1</w:t>
      </w:r>
    </w:p>
    <w:p>
      <w:r>
        <w:t>Saisi d'un recours contre une décision de non-entrée en matière sur une demande d'asile, le Tribunal se limite à examiner le bien-fondé d'une telle décision (cf. ATF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dit,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du règlement Dublin III. La réponse à cette question sera quant à elle pertinente dans la procédure de rectification des données personnelles du recourant contenues dans SYMIC.</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Concernant la question de l'âge, il incombe, selon la jurisprudence constante, au requérant qui entend se prévaloir de sa minorité de la rendre pour le moins vraisemblable, s'il entend en déduire un droit, sous peine d'en supporter les conséquences juridiques (cf. ATAF 2019 I/6 consid. 5.4 et jurisp. cit.).</w:t>
      </w:r>
    </w:p>
    <w:p>
      <w:r>
        <w:rPr>
          <w:b/>
        </w:rPr>
        <w:t>E. 5.2</w:t>
      </w:r>
    </w:p>
    <w:p>
      <w:r>
        <w:t>Pour déterminer la qualité de mineur d'un requérant d'asile au moment du dépôt de sa demande en Suisse (cf., sur ce point, arrêt du TAF E-2342/2023 du 5 mai 2023 consid. 6.7),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et arrêt du TAF F-2563/2022 du 11 décembre 2023, consid. 5.1 et les réf. citées). En d'autres termes, si la minorité alléguée ne peut pas être prouvée par pièces, il convient de procéder à une appréciation globale de tous les autres éléments plaidant en faveur et en défaveur de celle-ci, étant précisé qu'il incombe au requérant de rendre sa minorité vraisemblable - autrement dit hautement probable - au sens de l'art. 7 al. 1 et 2 LAsi, sous peine d'en supporter les conséquences juridiques (cf. ATAF 2019 I/6 consid. 5.4).</w:t>
      </w:r>
    </w:p>
    <w:p>
      <w:r>
        <w:rPr>
          <w:b/>
        </w:rPr>
        <w:t>E. 6.1</w:t>
      </w:r>
    </w:p>
    <w:p>
      <w:r>
        <w:t>En l'espèce, il convient de relever, à titre préliminaire, que le recourant a été assisté par une représentante juridique tout au long de la procédure de première instance.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et de migration. Force est aussi de constater, à l'instar du SEM, que le recourant n'a produit aucune pièce d'identité au sens de l'art. 1a let. c OA 1, soit « tout document officiel comportant une photographie délivrée dans le but de prouver l'identité du détenteur » (cf. ATAF 2007/7 consid. 4 à 6), qui attesterait en particulier sa date de naissance (art. 1a let. a OA 1). En effet, la « taskera », produite sous forme de copie surlignée, ne peut pas être qualifiée de document d'identité au sens de cette disposition. En outre, une « taskera » a une valeur probante relativement faible, notamment parce qu'elle est aisément falsifiable (cf. ATAF 2019 I/6 consid. 6.2). Il convient dès lors, à ce stade, de procéder à une appréciation globale des éléments pertinents du dossier pour établir si le requérant est parvenu - ou non - à rendre crédible l'âge qu'il prétend avoir.</w:t>
      </w:r>
    </w:p>
    <w:p>
      <w:r>
        <w:rPr>
          <w:b/>
        </w:rPr>
        <w:t>E. 6.2</w:t>
      </w:r>
    </w:p>
    <w:p>
      <w:r>
        <w:t>En l'espèce, le Tribunal relève en premier lieu que le recourant n'a cessé de se rajeunir au fur et à mesure de la procédure par-devant les autorités suisses, commençant par indiquer être né le (...) 2006 lors de son interpellation à la frontière, puis le (...) 2006 dans sa demande d'asile et enfin le (...) 2006 lors de son audition. Par ailleurs, il avait préalablement indiqué deux dates fort différentes aux autorités bulgares et croates, à savoir le (...) 2004 et le (...) 2002, ce qui vient d'ores et déjà réduire sa crédibilité. En outre, ses propos lors de l'audition du 7 décembre 2023 concernant les données en rapport avec son âge comportent des invraisemblances qui lui font perdre toute crédibilité. En effet, il apparaît pour le moins étonnant que, ne sachant, selon ses dires, ni lire ni écrire, le recourant maîtrise le calendrier grégorien et soit à même d'indiquer avoir (...) ans, (...) mois et (...) jours au moment de l'audition. Une telle précision interpelle puisque, selon l'expérience générale de la vie, une personne questionnée sur son âge indique avoir eu ou qu'elle aura tel âge, en chiffres ronds, le jour de son anniversaire, ou qu'elle est - approximativement - âgée d'un nombre d'années augmenté de mesures temporelle simples, en indiquant par exemple avoir bientôt (...) ans et demi. Quoi qu'il en soit, il apparaît ici, avec une haute probabilité, que l'intéressé a appris par coeur une date de naissance peu avant son audition, ceci étant encore renforcé par le fait que, le jour de son audition, l'intéressé n'aurait pas eu (...) ans, (...) mois et (...) jours s'il était effectivement né le (...) 2006 comme il l'a affirmé à cette date. L'on aurait en outre pu s'attendre à ce que le recourant puisse indiquer le moment où il a appris sa date de naissance par son oncle sans se contredire par la suite. Il a pourtant déclaré avoir pris connaissance de son âge en Serbie ou en Turquie, suivant les versions. Lorsque son attention a été attirée sur cette incohérence par le chargé d'audition du SEM, l'intéressé n'a pas été en mesure de fournir une explication. Or, s'il avait appris sa date de naissance en Turquie, il aurait pu la donner par la suite en Bulgarie, puis en Croatie, où il s'est présenté comme majeur dans les deux cas. Même dans l'hypothèse où il ne l'aurait apprise qu'en Serbie, il aurait alors pu la donner en Croatie. Par surabondance, le Tribunal relève les affirmations contradictoires du recourant sur des faits aisément vérifiables, notamment lorsqu'il affirme ne pas avoir déposé de demande d'asile dans un autre pays, alors qu'il est établi qu'il en a déposé en Bulgarie et en Croatie. Ses déclarations quant à son âge au moment de la chute du gouvernement apparaissent également peu crédibles, dans la mesure où il affirme avoir eu onze ou douze ans en août 2021, ce qui signifierait qu'il serait né en 2009 ou 2010, soit bien plus jeune que la date de naissance qu'il a donnée en arrivant en Suisse. Le Tribunal ajoutera encore les nombreux alias dont s'est doté le recourant durant son parcours migratoire et qui font douter de la véracité de son récit. En outre, son affirmation selon laquelle ses parents ne travaillaient plus en raison de leur âge, alors qu'il se trouvait encore en Afghanistan, parle en faveur de sa majorité, tout comme le fait que son frère cadet, plus jeune de deux ans, ait travaillé pour le gouvernement lors de la chute de celui-ci à l'été 2021.</w:t>
      </w:r>
    </w:p>
    <w:p>
      <w:r>
        <w:rPr>
          <w:b/>
        </w:rPr>
        <w:t>E. 6.3</w:t>
      </w:r>
    </w:p>
    <w:p>
      <w:r>
        <w:t>Sur le vu de ce qui précède, les éléments plaidant en défaveur de la date de naissance indiquée par le recourant et, partant, de sa minorité alléguée, l'emportent sur les seules affirmations de ce dernier, lesquelles se sont révélées contradictoires. Le SEM était dès lors fondé à considérer que l'intéressé était majeur au moment où il a déposé sa demande d'asile. Partant, l'art. 8 par. 4 RD III ne s'applique pas en l'espèce De même, il ne se justifie pas de procéder à la rectification demandée, le recourant n'étant pas parvenu à démontrer l'exactitude, ni la haute vraisemblance de la modification requise. En outre, le caractère litigieux de la date de naissance est déjà mentionné dans le système SYMIC (art. 41 al. 4 LPD). Il s'ensuit que le recours doit être rejeté en tant qu'il porte sur le refus de procéder aux modifications requises dans SYMIC.</w:t>
      </w:r>
    </w:p>
    <w:p>
      <w:r>
        <w:rPr>
          <w:b/>
        </w:rPr>
        <w:t>E. 7</w:t>
      </w:r>
    </w:p>
    <w:p>
      <w:r>
        <w:t>Il convient dès lors, à ce stade, d'examiner si le SEM était fondé à faire application de l'art. 31a al. 1 let. b LAsi.</w:t>
      </w:r>
    </w:p>
    <w:p>
      <w:r>
        <w:rPr>
          <w:b/>
        </w:rPr>
        <w:t>E. 7.1</w:t>
      </w:r>
    </w:p>
    <w:p>
      <w:r>
        <w:t>Avant de faire usage de cette disposition, le SEM examine la compétence relative au traitement d'une demande d'asile selon les critères fixés dans le règlement Dublin III (art. 29a al. 1 de l'ordonnance 1 du 11 août 1999 sur l'asile [OA 1, RS 142.311]). En vertu de l'art. 3 par. 1 RD III, une demande de protection internationale est examinée par un seul Etat membre, qui est celui que les critères énoncés au chapitre III de ce règlement désignent comme responsable.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2019 VI/7 consid. 6.4.1.3]). Lorsque la procédure de détermination de l'Etat responsable n'est pas close, il convient d'appliquer l'art. 20 par. 5 du règlement Dublin III qui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du règlement Dublin III) pendant la procédure de détermination de l'Etat membre responsable de l'examen de la demande de protection internationale, ceci en vue d'achever ladite procédure (cf. arrêt de Grande chambre de la CJUE, affaires jointes C-582/17 et C-583/17 du 2 avril 2019, § 48 à 50 ; arrêt du TAF 5009/2022 du 21 mars 2024 consid. 5.4 et les réf. citées).</w:t>
      </w:r>
    </w:p>
    <w:p>
      <w:r>
        <w:rPr>
          <w:b/>
        </w:rPr>
        <w:t>E. 7.2</w:t>
      </w:r>
    </w:p>
    <w:p>
      <w:r>
        <w:t>En l'espèce, vu le résultat des investigations entreprises dans la base de données « Eurodac » et le refus de reprise en charge des autorités bulgares du 10 janvier 2024, l'autorité a formulé une demande de reprise en charge auprès des autorités croates le même jour. Celles-ci ont expressément accepté de reprendre en charge l'intéressé, sur la base de l'art. 20 par. 5 RD III et dans le respect du délai fixé à l'art. 25 par. 1 RD III, afin de poursuivre la procédure de détermination de l'Etat Dublin compétent. 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w:t>
      </w:r>
    </w:p>
    <w:p>
      <w:r>
        <w:rPr>
          <w:b/>
        </w:rPr>
        <w:t>E. 8.1</w:t>
      </w:r>
    </w:p>
    <w:p>
      <w:r>
        <w:t>Il y a lieu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Par ailleurs, il convient de rappeler que la Croatie est liée à ladite Charte UE et, de surcroît, partie à la Convention du 28 juillet 1951 relative au statut de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w:t>
      </w:r>
    </w:p>
    <w:p>
      <w:r>
        <w:rPr>
          <w:b/>
        </w:rPr>
        <w:t>E. 8.2</w:t>
      </w:r>
    </w:p>
    <w:p>
      <w:r>
        <w:t>En l'espèce, il n'y a, selon la jurisprudence bien établie du Tribunal (cf. arrêt de référence E-1488/2020 du 22 mars 2023 consid. 9.3 ss), aucune raison sérieuse de considérer qu'il existe, en Croatie, des défaillances systémiques dans le cadre de la reprise en charge d'un demandeur d'asile et dans les conditions d'accueil des ceux-ci, qui entraîneraient un risque de traitement inhumain ou dégradant et le recourant n'a pas démontré que tel serait le cas. L'application de l'art. 3 par. 2 al. 2 du RD III ne se justifie donc pas en l'espèce (cf. ATAF 2017 VI/5 consid. 8.4).</w:t>
      </w:r>
    </w:p>
    <w:p>
      <w:r>
        <w:rPr>
          <w:b/>
        </w:rPr>
        <w:t>E. 9.1</w:t>
      </w:r>
    </w:p>
    <w:p>
      <w:r>
        <w:t>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pour des motifs liés au cas concret, des obligations de la Suisse relevant du droit international public (par exemple, lorsque ce transfert est illicite au sens de l'art. 3 CEDH pour des motifs médicaux ; cf., parmi d'autres, ATAF 2017 VI/7 consid. 4.3 et 2017 VI/5 consid. 8.5.2).</w:t>
      </w:r>
    </w:p>
    <w:p>
      <w:r>
        <w:rPr>
          <w:b/>
        </w:rPr>
        <w:t>E. 9.2</w:t>
      </w:r>
    </w:p>
    <w:p>
      <w:r>
        <w:t>Dans son recours, l'intéressé s'est opposé à son transfert vers la Croatie, au motif qu'il aurait été victime de mauvais traitement dans ce pays. Il redoute ainsi d'être, à nouveau, soumis à des traitements dégradants, voire inhumains, s'il devait être transféré en Croatie. A ce titre, le Tribunal considère que les déclarations du recourant relatives aux circonstances de son arrivée sur le sol croate ne sauraient, à elles seules, suffire à démontrer qu'il serait ou risquerait d'être soumis à des traitements inhumains ou dégradants en cas de transfert en Croatie. En particulier, aucun élément au dossier n'indique que l'intéressé ait été blessé ou victime d'un acte assimilable à un traitement inhumain ou dégradant. Par ailleurs, on ne saurait assimiler sa situation initiale à celle à laquelle il sera confronté à son retour dans le cadre de la procédure Dublin. Dans son arrêt de référence E-1488/2020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Cela étant, si le recourant devait, à l'issue de son transfert vers la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w:t>
      </w:r>
    </w:p>
    <w:p>
      <w:r>
        <w:rPr>
          <w:b/>
        </w:rPr>
        <w:t>E. 9.3</w:t>
      </w:r>
    </w:p>
    <w:p>
      <w:r>
        <w:t>Pour le surplus, l'intéressé ne prétend pas que son état de santé s'opposerait à un transfert et cela ne ressort pas non plus du dossier. Dès lors, le transfert du recourant vers la Croatie n'est pas contraire aux obligations de la Suisse découlant de ses obligations internationales. Le SEM n'était donc pas tenu de renoncer au transfert et d'examiner lui-même la demande d'asile de l'intéressé.</w:t>
      </w:r>
    </w:p>
    <w:p>
      <w:r>
        <w:rPr>
          <w:b/>
        </w:rPr>
        <w:t>E. 9.4</w:t>
      </w:r>
    </w:p>
    <w:p>
      <w:r>
        <w:t>Enfin, le Tribunal constate que le SEM a établi l'état de fait pertinent de manière complète et exacte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w:t>
      </w:r>
    </w:p>
    <w:p>
      <w:r>
        <w:rPr>
          <w:b/>
        </w:rPr>
        <w:t>E. 10.1</w:t>
      </w:r>
    </w:p>
    <w:p>
      <w:r>
        <w:t>Au regard de l'ensemble des éléments qui précèdent, c'est à bon droit que le SEM n'est pas entré en matière sur la demande d'asile de l'intéressé, en application de l'art. 31a al. 1 let. b LAsi, et qu'il a prononcé son transfert vers la Croatie conformément à l'art. 44 1ère phr. LAsi, étant précisé qu'aucune exception à la règle générale du renvoi n'est réalisée (cf. art. 32 OA 1). Le recours doit par conséquent être rejeté s'agissant de cette question également.</w:t>
      </w:r>
    </w:p>
    <w:p>
      <w:r>
        <w:rPr>
          <w:b/>
        </w:rPr>
        <w:t>E. 10.2</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requêtes d'assistance judiciaire partielle présentées à l'appui des recours ayant été admises par décision incidente du 22 février 2024 (cf. art. 65 al. 1 PA), il n'est pas perçu de frais de procédure.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