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D-857/2022 vom 18. Mai 2022</w:t>
      </w:r>
    </w:p>
    <w:p>
      <w:r>
        <w:t>Bundesverwaltungsgericht, 2022-05-18, DE</w:t>
      </w:r>
    </w:p>
    <w:p>
      <w:r>
        <w:rPr>
          <w:b/>
        </w:rPr>
        <w:t xml:space="preserve">Quelle: </w:t>
      </w:r>
      <w:r>
        <w:t>https://mcp.opencaselaw.ch/entscheid/bvger_D-857_2022</w:t>
      </w:r>
    </w:p>
    <w:p>
      <w:r>
        <w:t>FR: TAF D-857/2022 du 18 mai 2022</w:t>
      </w:r>
    </w:p>
    <w:p>
      <w:r>
        <w:t>IT: TAF D-857/2022 del 18 maggio 2022</w:t>
      </w:r>
    </w:p>
    <w:p>
      <w:pPr>
        <w:pStyle w:val="Heading2"/>
      </w:pPr>
      <w:r>
        <w:t>Regeste</w:t>
      </w:r>
    </w:p>
    <w:p>
      <w:r>
        <w:t>Ausstand</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Gericht grundsätzlich (mit Ausnahme von Verfahren betreffend Personen, gegen die ein Auslieferungsersuchen des Staates vorliegt, vor welchem sie Schutz suchen) endgültig (Art. 105 AsylG i.V.m. Art. 31-33 VGG; Art. 83 Bst. d Ziff. 1 BGG).</w:t>
      </w:r>
    </w:p>
    <w:p>
      <w:r>
        <w:rPr>
          <w:b/>
        </w:rPr>
        <w:t>E. 1.2</w:t>
      </w:r>
    </w:p>
    <w:p>
      <w:r>
        <w:t>Im Rahmen dieser Verfahren ist das Bundesverwaltungsgericht auch zur abschliessenden Beurteilung von Ausstandsbegehren zuständig (vgl. BVGE 2007/4 E. 1.1). Gemäss Art. 38 VGG gelten die Bestimmungen des BGG über den Ausstand (vgl. Art. 34 ff. BGG) im Verfahren vor dem Bundesverwaltungsgericht sinngemäss.</w:t>
      </w:r>
    </w:p>
    <w:p>
      <w:r>
        <w:rPr>
          <w:b/>
        </w:rPr>
        <w:t>E. 1.3</w:t>
      </w:r>
    </w:p>
    <w:p>
      <w:r>
        <w:t>Der Entscheid über Ausstandsbegehren ergeht - unter Ausschluss der betroffenen Gerichtsperson - in der Regel in der Besetzung mit drei Richtern beziehungsweise Richterinnen (Art. 21 Abs. 1 VGG, Art. 38 VGG i.V.m. Art. 37 Abs. 1 BGG).</w:t>
      </w:r>
    </w:p>
    <w:p>
      <w:r>
        <w:rPr>
          <w:b/>
        </w:rPr>
        <w:t>E. 2.1</w:t>
      </w:r>
    </w:p>
    <w:p>
      <w:r>
        <w:t>Eine Partei, die gemäss Art. 36 Abs. 1 BGG den Ausstand einer Gerichtsperson verlangt, hat dem Gericht ein schriftliches Begehren einzureichen, sobald sie vom Ausstandsgrund Kenntnis erhalten hat, und dabei die den Ausstand begründenden Tatsachen zumindest glaubhaft zu machen (vgl. Art. 36 Abs. 1 BGG [zweiter Satz]; BGE 144 I 159 E. 4.3, 137 II 431 E. 5.2). Dabei ist jedoch nicht auf das subjektive Empfinden der Partei abzustellen; das Misstrauen in die Unvoreingenommenheit muss vielmehr in objektiver Weise begründet erscheinen (vgl. BGE 140 III 221 E. 4.1). Macht die Partei die Ausstandsgründe nicht unverzüglich geltend, so verwirkt sie ihr Ablehnungsrecht (vgl. BGE 140 I 171 E. 8.4.3, 140 I 240 E. 2.4, je m.w.H.).</w:t>
      </w:r>
    </w:p>
    <w:p>
      <w:r>
        <w:rPr>
          <w:b/>
        </w:rPr>
        <w:t>E. 2.2</w:t>
      </w:r>
    </w:p>
    <w:p>
      <w:r>
        <w:t>Die Eingabe vom 16. Februar 2022 beinhaltet ein solches Begehren und sie wurde innerhalb nützlicher Frist eingereicht. Der Gesuchsteller ist im Verfahren D-390/2022 Partei und damit zur Einreichung des Ausstandsbegehrens legitimiert.</w:t>
      </w:r>
    </w:p>
    <w:p>
      <w:r>
        <w:rPr>
          <w:b/>
        </w:rPr>
        <w:t>E. 3.1</w:t>
      </w:r>
    </w:p>
    <w:p>
      <w:r>
        <w:t>Die vom Ausstandsbegehren betroffene Gerichtsperson hat sich über die vorgebrachten Ausstandsgründe zu äussern (Art. 36 Abs. 2 BGG). Bestreitet die Gerichtsperson, deren Ausstand verlangt wird, oder ein Richter beziehungsweise eine Richterin der Abteilung den Ausstandsgrund, so entscheidet gemäss Art. 37 Abs. 1 BGG die Abteilung unter Ausschluss der betroffenen Gerichtsperson über den Ausstand.</w:t>
      </w:r>
    </w:p>
    <w:p>
      <w:r>
        <w:rPr>
          <w:b/>
        </w:rPr>
        <w:t>E. 3.2.1</w:t>
      </w:r>
    </w:p>
    <w:p>
      <w:r>
        <w:t>Der Gesuchsteller beruft sich sinngemäss auf den Ausstandsgrund von Art. 34 Abs. 1 Bst. e BGG. Gemäss dieser Bestimmung haben Gerichtspersonen in den Ausstand zu treten, wenn sie aus anderen als den in Art. 34 Abs. 1 Bst. a-d BGG genannten Gründen befangen sein könnten. Dieser Bestimmung kommt die Funktion einer Auffangklausel zu, die - über den Bereich der in den Bst. a-d namentlich erwähnten besonderen sozialen Beziehungen hinausgehend - sämtliche Umstände abdeckt, die den Anschein der Befangenheit einer Gerichtsperson erwecken und objektiv Zweifel an deren Unvoreingenommenheit zu begründen vermögen (vgl. Florence Aubry Girardin, in: Corboz/Wurzburger/Ferrari/Frésard/Aubry Girardin [Hrsg.], Commentaire de la LTF, 2. Aufl. 2014, Art. 34 BGG Rz. 29 m.w.H.). Insofern muss zur Ablehnung einer Gerichtsperson nicht deren tatsächliche Befangenheit nachgewiesen werden, sondern es genügt bereits der Anschein der Befangenheit. Ein solcher Anschein besteht, wenn Umstände vorliegen, die bei objektiver Betrachtungsweise geeignet sind, Misstrauen in die Unparteilichkeit der Richterin oder des Richters zu erwecken. Solche Umstände können namentlich in einem bestimmten Verhalten der Gerichtsperson begründet sein (vgl. BGE 141 IV 178 E. 3.2.1, 140 I 326 E. 5.1, m.w.H.). Richterliche Verfahrensfehler können dabei ausnahmsweise die Unbefangenheit in Frage stellen. Es müssen jedoch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(vgl. Isabelle Häner, in: Basler Kommentar zum Bundesgerichtsgesetz, 3. Aufl. 2018, Art. 34 N 19).</w:t>
      </w:r>
    </w:p>
    <w:p>
      <w:r>
        <w:rPr>
          <w:b/>
        </w:rPr>
        <w:t>E. 3.2.2</w:t>
      </w:r>
    </w:p>
    <w:p>
      <w:r>
        <w:t>Die Zuteilung der Verfahren an die Richter und Richterinnen zur Instruktion und die Generierung der Spruchkörper am Bundesverwaltungsgericht basiert auf einer automatischen und einer manuellen Komponente (vgl. https://www.bvger.ch/bvger/de/home/rechtsprechung/spruckoerperbildung.html). Für die automatische Komponente wird ein EDV-basiertes Zuteilungssystem verwendet. Dieses berücksichtigt bei der Zuteilung der Verfahren neben der Sprache der Richter und Richterinnen insbesondere den Beschäftigungsgrad, mit dem sie in der Rechtsprechung tätig sind. Basierend auf diesen Indikatoren werden die eingehenden Rechtsmittel in der Reihenfolge ihres Eingangs unter Berücksichtigung der aktuellen Auslastung den Richtern und Richterinnen zur Instruktion zugeteilt und die Spruchkörper generiert. Das EDV-basierte Zuteilungssystem ist hingegen nicht darauf ausgelegt, von einzelnen Rechtsvertretern oder Rechtsvertreterinnen eingereichte Rechtsmittel gleichmässig und unter Berücksichtigung ihrer Parteizugehörigkeit Richter und Richterinnen zur Instruktion zuzuteilen oder den Spruchkörper parteipolitisch ausgewogen zu generieren. Die implizite Annahme des Gesuchstellers beziehungsweise seines Rechtsvertreters, es sei eine gleichmässige Verteilung der von ihm geführten Verfahren auf alle Richter und Richterinnen beziehungsweise eine parteipolitisch ausgewogene Zuweisung seiner Verfahren auf die Richterschaft in den Abteilungen IV und V zu erwarten, ist mithin von vornherein falsch. Soweit die Zuteilung der von ihm anhängig gemachten Verfahren im Übrigen durch eine manuelle Übersteuerung des EDV-basierten Zuteilungssystems vorgenommen wurde, erfolgte dies durchwegs auf Komponenten, die auf reglementarisch vorbestimmten sachlichen Kriterien beruhen oder auf Anweisung des Abteilungspräsidiums zur Ausgleichung der Geschäftslast (vgl. Art. 14a Abs. 2 Bst. d VGR), wobei diese im System standardisiert ausgewiesen wird. Dass die von Rechtsanwalt Gabriel Püntener eingereichten Rechtsmittel im beleuchteten Zeitraum vermehrt Richtern und Richterinnen zur Instruktion zugewiesen wurden, die der SVP angehören (beziehungsweise der gleichen Instruktionsrichterin), ist mithin systembedingt - und kann sich systembedingt fluktuierend wieder ändern. Dasselbe gilt für die vom Zuteilungssystem bestimmten Mitrichter oder Mitrichterinnen.</w:t>
      </w:r>
    </w:p>
    <w:p>
      <w:r>
        <w:rPr>
          <w:b/>
        </w:rPr>
        <w:t>E. 3.3</w:t>
      </w:r>
    </w:p>
    <w:p>
      <w:r>
        <w:t>Hinsichtlich der Bildung des Spruchkörpers im Verfahren D-390/2022 ist festzuhalten, dass diese am 27. Januar 2022 mit Hilfe eines EDV-basierten Zuteilungssystems ohne jeglichen Eingriff der Instruktionsrichterin oder einer anderen am Bundesverwaltungsgericht tätigen Person stattgefunden hat. Die Unterstellung, am Bundesverwaltungsgericht würden die vom Rechtsvertreter des Gesuchstellers anhängig gemachten Verfahren durch bewusste widerrechtliche Manipulation vermehrt Richtern und Richterinnen zur Instruktion und zur Mitwirkung zugeteilt, die der SVP angehören, und insbesondere sei dies im Verfahren D-390/2022 durch die dortige Instruktionsrichterin erfolgt, erweist sich als offensichtlich haltlos, weshalb auf das Ausstandsbegehren gegen die Instruktionsrichterin im Verfahren D-390/2022 nicht einzutreten ist. Bei dieser Sachlage erübrigte sich das Einholen einer Stellungnahme der betroffenen Richterin.</w:t>
      </w:r>
    </w:p>
    <w:p>
      <w:r>
        <w:rPr>
          <w:b/>
        </w:rPr>
        <w:t>E. 4</w:t>
      </w:r>
    </w:p>
    <w:p>
      <w:r>
        <w:t>Bei diesem Ausgang des Verfahrens sind die Kosten dem Gesuchsteller aufzuerlegen und auf Fr. 750.- festzusetzen (Art. 63 Abs. 1;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