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D-8551/2010 vom 30. Januar 2012</w:t>
      </w:r>
    </w:p>
    <w:p>
      <w:r>
        <w:t>Bundesverwaltungsgericht, 2012-01-30, DE</w:t>
      </w:r>
    </w:p>
    <w:p>
      <w:r>
        <w:rPr>
          <w:b/>
        </w:rPr>
        <w:t xml:space="preserve">Quelle: </w:t>
      </w:r>
      <w:r>
        <w:t>https://mcp.opencaselaw.ch/entscheid/bvger_D-8551_2010</w:t>
      </w:r>
    </w:p>
    <w:p>
      <w:r>
        <w:t>FR: TAF D-8551/2010 du 30 janvier 2012</w:t>
      </w:r>
    </w:p>
    <w:p>
      <w:r>
        <w:t>IT: TAF D-8551/2010 del 30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die Glaubhaftigkeit der Kernvorbringen des Be­schwerde­führers verneint. Diese Sichtweise vermag zu über­zeugen.</w:t>
      </w:r>
    </w:p>
    <w:p>
      <w:r>
        <w:rPr>
          <w:b/>
        </w:rPr>
        <w:t>E. 4.2</w:t>
      </w:r>
    </w:p>
    <w:p>
      <w:r>
        <w:t>Eine Durchsicht der Aussagen des Beschwerdeführers ergibt das Bild einer in wesentlichen Punkten konstruiert wirkenden Schilderung. Ein­zelne etwas gehaltvollere Passagen vermögen darüber nicht hinwegzu­täuschen. So weist das BFM zurecht darauf hin, dass der Be­schwerdeführer die angeblichen Verhöre während der Haft nicht angemes­sen zu substanziieren vermochte. Seine Begründung in der Be­schwerdeschrift, die Fragen der Polizei hätten sich wiederholt, vermag nicht zu überzeugen; vielmehr wäre auch diesfalls zu erwarten gewesen, dass er besagte Wiederholungen anschaulich und mit Realitätskennzei­chen versehen zu Protokoll gegeben hätte. Dazu war er aber nicht in der Lage (vgl. A 8/16 Antwort 20 und 81 ff.; A 9/11 Antworten 36 ff.). Ferner mu­tet seine Schilderung der Flucht aus dem Spital wegen Einschlafens der Bewachungsperson ausgesprochen stereotyp an. Nicht nachvollzo­gen werden kann ausserdem der Umstand, wonach er ein aus behördli­cher Sicht ihn belastendes OLF-Dankesschreiben in der eigenen Woh­nung aufbewahrt haben und dessen Entfernung nicht unmittelbar nach der angeblichen Flucht aus dem Spital in die Wege geleitet haben soll. Über­dies vermittelt die angebliche behördliche Vorgehensweise - Haus­durchsuchung erst nach der Flucht aus dem Spital; Vorladungstermin für die Partnerin des Beschwerdeführers statt sofortiger Festnahme bei der Razzia - das Bild einer bloss konstruierten Verfolgungssituation. Diesbezüg­lich kann auf die wiederum zutreffenden vorinstanzlichen Erwä­gungen verwiesen werden. Die nicht stichhaltigen Beschwerdeargumente rechtfertigen klarerweise keine andere Sichtweise. Überdies fällt auf, dass der Beschwerdeführer sein angebliches Engagement für die OLF wie­derholt ohne Tiefgang darlegte und beispielsweise auch erwähnte, die ihm ausgestellte Dankesurkunde nicht genau angesehen zu haben. Zu­dem wirkt seine Begründung, weshalb er die verbotene OLF unterstützt habe, in ihrer stereotypen Kürze in keiner Weise überzeugend (A 8/16 Ant­worten 24 ff. und 41 ff.). Schliesslich mag zutreffen, dass er gewisse, wenn auch eher oberflächliche Kenntnisse zu Belangen und Personen der OLF hat; den Wissensstand und das politische Bewusstsein eines tat­sächlich aktiven Parteimitglieds vermochte er dadurch jedoch nicht zu ver­mitteln, zumal er in diesem Zusammenhang als Quellen auch Radio und Fernsehen erwähnte (vgl. A 8/16 Antwort 68).</w:t>
      </w:r>
    </w:p>
    <w:p>
      <w:r>
        <w:rPr>
          <w:b/>
        </w:rPr>
        <w:t>E. 4.3</w:t>
      </w:r>
    </w:p>
    <w:p>
      <w:r>
        <w:t>Das nachgereichte Bestätigungsschreiben der OLF rechtfertigt offen­sichtlich keine andere Einschätzung der angeblichen Fluchtgründe. Dazu ist festzuhalten, dass die Identi­tät des Beschwerdeführers mangels eines rechtsgenüglichen Be­legs nach wie vor nicht feststeht. Ob sich das Schrei­ben _______ überhaupt auf seine Person bezieht, bleibt mit­hin ungeklärt, was seinen Beweiswert bereits erheblich beeinträch­tigt. Die Vorinstanz erwägt im Übri­gen zu Recht, dass das Schreiben im Hinblick auf die Leistungen des Beschwerdefüh­rers für die OLF und die angebliche Verfolgung ausgespro­chen substanzlos ausgefallen ist. Sein Einwand, die von ihm kon­kret erlittene Verfolgung könne wegen der Gefährlichkeit von Abklärun­gen vor Ort nicht bestätigt werden, wirkt als blosse Schutzbehaup­tung wenig überzeugend. Das Dokument ist jedenfalls nicht geeignet, die angebliche OLF-Mitgliedschaft des Beschwerdeführers und die angebli­che Haft vor der Ausreise als glaubhaft erscheinen zu lassen. Anzu­fügen ist sodann, dass auch die geltend gemachte Zugehö­rigkeit zur Ethnie der Oromo trotz (ethnischen) Spannungen vor Ort für sich allein be­sehen nicht zur Anerkennung als Flüchtling führen kann (zur aktuellen, für Oppositionelle angespannten Lage in Äthiopien vgl. u.a. das Urteil E-7622/2006 Ziff. 6.2.2 f. vom 16. März 2011).</w:t>
      </w:r>
    </w:p>
    <w:p>
      <w:r>
        <w:rPr>
          <w:b/>
        </w:rPr>
        <w:t>E. 4.4</w:t>
      </w:r>
    </w:p>
    <w:p>
      <w:r>
        <w:t>Unter Berücksichtigung der gesamten Umstände folgt, dass der Be­schwerdeführer keine Gründe nach Art. 3 AsylG nachweisen oder glaub­haft machen konnte. Es erübrigt sich, auf weitere Beschwerdevorbringen und die Beweismittel detaillierter einzugehen. Die Vorinstanz hat die Flücht­lingseigen­schaft zu Recht verneint und das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unter Hin­weis auf obenstehende Erwägungen nicht gelungen. Auch die allge­meine Menschenrechtssituation im Heimatstaat lässt den Wegweisungsvoll­zug zum heutigen Zeitpunkt nicht als generell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Auch wenn in Äthiopien gewisse Probleme anzutreffen sind, herrscht zurzeit keine landesweite Situation allgemeiner Gewalt, weshalb in konstanter Praxis von der generellen Zumutbarkeit des Wegweisungsvollzugs in dieses Land ausgegangen wird. In den Akten finden sich auch keine konkreten Anhaltspunkte dafür, dass der Beschwerdeführer aus individuellen Gründen wirt­schaftlicher, sozia­ler oder gesundheitlicher Natur in eine existenzbedrohende Situation gera­ten würde. Es ist davon auszugehen, dass für ihn vor Ort nach wie vor sozi­ale An­knüpfungspunkte bestehen. Im Weiteren hat er Elektriker als Beruf angegeben; gearbeitet habe er unter anderem als Landwirt auf dem Land seines Vaters im Herkunftsort. Ausserdem verfügt er über Kenntnisse mehre­rer Sprachen und eine langjährige Schulbildung (A 1/12 S. 1 ff.; A 9/11 Antwort 77).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VwVG; Art. 1 - 3 des Regle­ments vom 21. Februar 2008 über die Kosten und Entschädigungen vor dem Bundesverwaltungsgericht [VGKE, SR 173.320.2]). Da er ge­mäss Aktenlage nach wie vor bedürftig ist und das Gesuch im Sinne von Art. 65 Abs. 1 VwVG mit Zwischenverfügung vom 16. Dezember 2010 gut­geheissen wurde,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