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D-853/2012 vom 5. März 2012</w:t>
      </w:r>
    </w:p>
    <w:p>
      <w:r>
        <w:t>Bundesverwaltungsgericht, 2012-03-05, DE</w:t>
      </w:r>
    </w:p>
    <w:p>
      <w:r>
        <w:rPr>
          <w:b/>
        </w:rPr>
        <w:t xml:space="preserve">Quelle: </w:t>
      </w:r>
      <w:r>
        <w:t>https://mcp.opencaselaw.ch/entscheid/bvger_D-853_2012</w:t>
      </w:r>
    </w:p>
    <w:p>
      <w:r>
        <w:t>FR: TAF D-853/2012 du 5 mars 2012</w:t>
      </w:r>
    </w:p>
    <w:p>
      <w:r>
        <w:t>IT: TAF D-853/2012 del 5 marzo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Partei Schutz sucht (Art. 105 AsylG; Art. 83 Bst. c Ziff. 1 und Bst. d Ziff. 1 des Bundesgerichtsgesetzes vom 17. Juni 2005 [BGG, SR 173.110]).</w:t>
      </w:r>
    </w:p>
    <w:p>
      <w:r>
        <w:rPr>
          <w:b/>
        </w:rPr>
        <w:t>E. 1.2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Betracht zu ziehen (vgl. BVGE 2011/10 E. 5.1 S. 128, vgl. auch die Zusammenfassung der Rechtsprechung im Urteil D-2018/2011 vom 14. September 2011 E. 7.1).</w:t>
      </w:r>
    </w:p>
    <w:p>
      <w:r>
        <w:rPr>
          <w:b/>
        </w:rPr>
        <w:t>E. 5.1</w:t>
      </w:r>
    </w:p>
    <w:p>
      <w:r>
        <w:t>Aufgrund der Angaben des Beschwerdeführers, wonach er das Militärcamp B._______ im März 2010 vor der Ausreise aus der Heimat unbefugt verlassen hat, ist mit Blick auf die drastischen staatlichen Sanktionen gegenüber Deserteuren, mit denen er im Falle der Rückkehr in die Heimat zu rechnen hat (vgl. Entscheidungen und Mitteilungen der Schweizerischen Asylrekurskommission [EMARK] 2006 Nr. 3 E. 4.6 - 4.10 S. 35 ff.) übereinstimmend mit der Vorinstanz davon auszugehen, dass seine diesbezüglichen Vorbringen im Sinne von Art. 3 Abs. 2 AsylG asylrechtlich relevant sind.</w:t>
      </w:r>
    </w:p>
    <w:p>
      <w:r>
        <w:rPr>
          <w:b/>
        </w:rPr>
        <w:t>E. 5.2</w:t>
      </w:r>
    </w:p>
    <w:p>
      <w:r>
        <w:t>In Bezug auf die Frage, ob es dem Beschwerdeführer zugemutet werden kann, sich in einem anderen Drittstaat um Aufnahme zu bemühen (Art. 20 Abs. 2 und Art. 52 Abs. 2 AsylG), ergibt die Überprüfung der Akten, dass sich die diesbezüglichen Erwägungen in der angefochtenen Verfügung (vgl. Sachverhalt Bst. E) als zutreffend erweisen. Der Beschwerdeführer ist im März 2010 in den Sudan eingereist und dort vom UNHCR als Flüchtling registriert worden. Es ist im Sudan zwar in der Tat in vereinzelten Fällen zu Entführungen von eritreischen Flüchtlingen beziehungsweise zu Deportationen von eritreischen Flüchtlingen nach Eritrea gekommen. Wie indessen das BFM in seiner Verfügung vom 12. Dezember 2011 übereinstimmend mit der Praxis des Bundesverwaltungsgerichts erwogen hat, ist gemäss gesicherten Erkenntnissen das Risiko einer Deportation oder Verschleppung für Eritreer, die im Sudan vom UNHCR als Flüchtlinge anerkannt sind, gering, da die sudanesischen Behörden zwar tatsächlich teilweise eritreische Asylsuchende sowie Flüchtlinge deportieren, diese Rückführungen indessen nicht flächendeckend erfolgen (vgl. statt vieler Urteile E-4417/2011 vom 9. Februar 2012 E. 6.5.3, D-5745/2011 vom 10. Januar 2012 E. 6.1). Die mit der Beschwerde eingereichte Presseerklärung des UNHCR vom 18. Oktober 2011, wonach Sudan am 17. Oktober 2011 über 300 eritreische Asylsuchende und Flüchtlinge nach Eritrea deportiert habe, vermag an der Einschätzung, wonach das Deportationsrisiko für Eritreer im Sudan nach wie vor als gering zu bezeichnen ist, nichts zu ändern, zumal etliche der Deportierten allem Anschein nach zuvor wegen illegalen Herumreisens im Sudan verurteilt worden sind, Sudan den eritreischen Flüchtlinge indessen gerade nicht erlaubt, sich im Lande (ausserhalb der Flüchtlingslager) frei zu bewegen. Soweit der Beschwerdeführer geltend macht, er habe in Khartum grosse wirtschaftliche Schwierigkeiten gehabt, weil er nicht habe arbeiten dürfen, ist darauf hinzuweisen, dass er im Sudan einem Flüchtlingslager zugewiesen worden ist, es den Akten zufolge aber vorgezogen hat, sich in Khartum ausserhalb des Flüchtlingslagers aufzuhalten. Es ist ihm jedoch grundsätzlich zuzumuten, sich in das ihm zugewiesene Flüchtlingslager zurückzubegeben. Im vorliegenden Fall tritt hinzu, dass keinerlei Anhaltspunkte für eine besondere Beziehungsnähe des Beschwerdeführers zur Schweiz bestehen. Eine Abwägung der Gesamtumstände im Sinne von Art. 52 Abs. 2 AsylG führt somit zum Schluss, dass dem Beschwerdeführer der Verbleib im Sudan zuzumuten ist.</w:t>
      </w:r>
    </w:p>
    <w:p>
      <w:r>
        <w:rPr>
          <w:b/>
        </w:rPr>
        <w:t>E. 5.3</w:t>
      </w:r>
    </w:p>
    <w:p>
      <w:r>
        <w:t>Zusammenfassend ergibt sich, dass die angefochtene Verfügung Bundesrecht nicht verletzt, den rechtserheblichen Sachverhalt richtig und vollständig feststellt und angemessen ist (Art. 106 Abs. 1 AsylG). Das BFM hat das Asylgesuch des Beschwerdeführers aus dem Ausland zu Recht abgelehnt und ihm die Einreise in die Schweiz verweigert. Die Beschwerde ist deshalb abzuweisen.</w:t>
      </w:r>
    </w:p>
    <w:p>
      <w:r>
        <w:rPr>
          <w:b/>
        </w:rPr>
        <w:t>E. 6</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