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D-846/2009 vom 13. Januar 2011</w:t>
      </w:r>
    </w:p>
    <w:p>
      <w:r>
        <w:t>Bundesverwaltungsgericht, 2011-01-13, DE</w:t>
      </w:r>
    </w:p>
    <w:p>
      <w:r>
        <w:rPr>
          <w:b/>
        </w:rPr>
        <w:t xml:space="preserve">Quelle: </w:t>
      </w:r>
      <w:r>
        <w:t>https://mcp.opencaselaw.ch/entscheid/bvger_D-846_2009</w:t>
      </w:r>
    </w:p>
    <w:p>
      <w:r>
        <w:t>FR: TAF D-846/2009 du 13 janvier 2011</w:t>
      </w:r>
    </w:p>
    <w:p>
      <w:r>
        <w:t>IT: TAF D-846/2009 del 13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einzig gegen die Ziffern 4 und 5 sowie - sinngemäss - gegen die Ziffer 6 des Dispositivs der Verfügung des Bundesamtes vom 15. Januar 2009. Die Ziffern 1 (Nichtzuerkennung der Flüchtlingseigenschaft), 2 (Verweigerung des Asyls) und 3 (Wegweisung an sich) des Dispositivs der vorinstanzlichen Verfügung sind mangels Anfechtung in Rechtskraft erwachsen. Im Folgenden ist daher ausschliesslich zu prüfen, ob die Vorinstanz den Vollzug der Wegweisung zu Recht angeordnet hat (Art. 44 Abs. 2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Entscheidungen und Mitteilungen der [vormaligen] Schweizerischen Asylrekurskommission [EMARK] 2006 Nr. 6 E. 4.2 S. 54 f.). Gegen eine allfällige Aufhebung dieser vorläufigen Aufnahme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w:t>
      </w:r>
    </w:p>
    <w:p>
      <w:r>
        <w:rPr>
          <w:b/>
        </w:rPr>
        <w:t>E. 4.2</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w:t>
      </w:r>
    </w:p>
    <w:p>
      <w:r>
        <w:t>Wie die Vorinstanz zu Recht festgestellt hat, erscheint der Vollzug der Wegweisung des aus der Gemeinde D._______ stammenden Beschwerdeführers nicht zumutbar, da dort eine konkrete Gefährdung aufgrund der ethnischen Zugehörigkeit (noch) nicht ausgeschlossen werden kann. Es ist daher im Folgenden zu prüfen, ob für den Beschwerdeführer eine Zufluchtsalternative im Norden Kosovos oder in Serbien besteht. Von der Frage des Bestehens einer Zufluchtsalternative zu unterscheiden ist diejenige nach dem Vorhandensein einer innerstaatlichen Fluchtalternative, welche von der Vorinstanz bejaht wurde (vgl. angefochtene BFM-Verfügung S. 4) und die aufgrund des ausdrücklichen Verzichts auf die Anfechtung der vorinstanzlich verfügten Nichtzuerkennung der Flüchtlingseigenschaft und Verweigerung des Asyls - trotz der vom Beschwerdeführer geäusserten Kritik an der Einschätzung der Sicherheitslage in Kosovo durch das BFM (vgl. Beschwerde S. 2 f.) - nicht Gegenstand des vorliegenden Beschwerdeverfahrens ist. Sodann ist festzuhalten, dass der Beschwerdeführer aufgrund der Aktenlage zwar einerseits ein Staatsangehöriger der Republik Kosovo ist, dass er aber anderseits infolge seiner serbischen Abstammung und Geburt auf ehemaligem Staatsgebiet der Republik Serbien (vgl. auch den beim BFM eingereichten Geburtsschein und die serbische Identitätskarte) beziehungsweise aufgrund des Umstandes, dass Serbien die Republik Kosovo nicht als Staat anerkennt und die Staatsangehörigen Kosovos grundsätzlich nach wie vor als serbische Staatsangehörige betrachtet, entgegen der in der Beschwerdeschrift (vgl. S. 4 f.) vertretenen Auffassung auch über die serbische Staatsangehörigkeit verfügt (vgl. das zur Publikation vorgesehene Urteil des Bundesverwaltungsgerichts D-7561/2008 vom 15. April 2010 E. 6.4.2).</w:t>
      </w:r>
    </w:p>
    <w:p>
      <w:r>
        <w:rPr>
          <w:b/>
        </w:rPr>
        <w:t>E. 4.4</w:t>
      </w:r>
    </w:p>
    <w:p>
      <w:r>
        <w:t>Im jetzigen Zeitpunkt herrscht weder in Serbien noch in der serbischen Enklave im Norden Kosovos eine generell unsichere, von bewaffneten Unruhen geprägte Lage, aufgrund derer der Beschwerdeführer bei einer Rückkehr unweigerlich einer konkreten Gefährdung ausgesetzt würde. Der Vollzug der Wegweisung ethnischer Serben mit letztem Wohnsitz in Kosovo nach Serbien ist daher grundsätzlich zumutbar (vgl. Urteil D-7561/2008 a.a.O. E. 8.3.2). Dasselbe gilt auch für die serbische Enklave im Norden Kosovos.</w:t>
      </w:r>
    </w:p>
    <w:p>
      <w:r>
        <w:rPr>
          <w:b/>
        </w:rPr>
        <w:t>E. 4.5</w:t>
      </w:r>
    </w:p>
    <w:p>
      <w:r>
        <w:t>Es bleibt jedoch zu prüfen, ob der Beschwerdeführer in der serbischen Enklave im Norden Kosovos oder in Serbien aus individuellen Gründen einer konkreten Gefährdung ausgesetzt sein könnte. Dabei sind laut der in EMARK 1996 Nr. 2 statuierten, gemäss Praxis des Bundesverwaltungsgerichts (vgl. etwa D-45/2009 vom 17. August 2010 E. 7.3.3 oder D-3797/2009 vom 13. Dezember 2010 E. 6.3.3)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D-7561/2008 a.a.O. E. 8.3.3 ff. i.V.m. EMARK 1996 Nr. 2): Sicherung des wirtschaftlichen Existenzminimums: Massgebend sind in erster Linie die Sprachkenntnisse sowie die Schulbildung und Berufserfahrung der asylsuchenden Person, wobei auch Kenntnisse zu berücksichtigen sind, die sie sich im Rahmen ihres Aufenthaltes in der Schweiz angeeignet hat. Gute Kenntnisse der Sprache des Zufluchtsorts und ein hoher Ausbildungsgrad wirken sich generell begünstigend auf die Sicherung des wirtschaftlichen Existenzminimums aus. Bezug zum möglichen Zufluchtsort: Beziehungen zum Zufluchtsort erleichtern das wirtschaftliche und soziale Fortkommen der asylsuchenden Person. Solche Beziehungen können sich aus früheren Aufenthalten der betroffenen Person selbst am möglichen Zufluchtsort ergeben, wobei diese allerdings erst ab einer gewissen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 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4.6</w:t>
      </w:r>
    </w:p>
    <w:p>
      <w:r>
        <w:t>Aus den Akten ergibt sich dass es sich beim Beschwerdeführer um einen 26-jährigen (mithin noch recht jungen), ledigen und - soweit aktenkundig - gesunden Mann handelt, der seit seiner Geburt mit seinen Eltern und Geschwistern in der Gemeinde D._______ im Südosten Kosovos gelebt hat. Er verfügt über eine abgeschlossene Ausbildung als Elektrotechniker, habe aber mangels entsprechender Beschäftigungsmöglichkeit in seiner Heimatregion nie auf diesem Beruf gearbeitet; er habe nur gelegentlich als Taglöhner Arbeit gefunden, und auf seine Bewerbung als Polizist beim KPS habe er nie eine Antwort erhalten (vgl. Vorakten A5 S. 4). Der Beschwerdeführer verbrachte sein ganzes bisheriges Leben - bis zur Ausreise am 22. oder 23. November 2008 - im Südosten Kosovos, wo er der serbischen Minderheitsethnie angehörte. Alle näheren Verwandten (Eltern, Geschwister, Tanten und Onkel) leben in der Gemeinde D._______ (vgl. A5 S. 3). In der serbischen Enklave im Norden Kosovos verfügt er gemäss seinen Angaben über keine Angehörigen, und die in Serbien wohnhaften entfernten Verwandten mütterlicherseits kennt er nicht persönlich (vgl. A5 S. 4). Dem Beschwerdeführer fehlt somit ein - gemäss der Praxis des Bundesverwaltungsgerichts erforderliches - tragfähiges Beziehungsnetz. Unter den gegebenen Umständen, insbesondere angesichts der kaum vorhandenen Berufserfahrung, dürfte der Beschwerdeführer ohne soziales Beziehungsnetz auch kaum in der Lage sein, sich im Norden Kosovos oder in Serbien wirtschaftlich zu integrieren. An dieser Feststellung vermag auch der Umstand nichts zu ändern, dass er in der Schweiz vom 1. Juni 2010 bis zum 31. August 2010 als Hilfsarbeiter auf dem Bau gearbeitet hat. In Berücksichtigung der geschilderten Umstände kommt das Bundesverwaltungsgericht zum Schluss, dass der Vollzug der Wegweisung des Beschwerdeführers im heutigen Zeitpunkt sowohl in die serbische Enklave im Norden Kosovos als auch nach Serbien als unzumutbar im Sinne von Art. 83 Abs. 4 AuG zu bezeichnen ist. Die Voraussetzungen für die Gewährung der vorläufigen Aufnahme sind damit erfüllt. Umstände im Sinne von Art. 83 Abs. 7 AuG, die einer vorläufigen Aufnahme entgegenstehen würden, liegen nicht vor.</w:t>
      </w:r>
    </w:p>
    <w:p>
      <w:r>
        <w:rPr>
          <w:b/>
        </w:rPr>
        <w:t>E. 5</w:t>
      </w:r>
    </w:p>
    <w:p>
      <w:r>
        <w:t>Nach dem Gesagten ist die sich einzig gegen den vorinstanzlich verfügten Vollzug der Wegweisung richtende Beschwerde gutzuheissen. Die Ziffern 4 bis 6 des Dispositivs der vorinstanzlichen Verfügung vom 15. Januar 2009 sind aufzuheben, und das BFM ist anzuweisen, den Beschwerdeführer wegen gegenwärtiger Unzumutbarkeit des Wegweisungsvollzugs vorläufig aufzunehmen.</w:t>
      </w:r>
    </w:p>
    <w:p>
      <w:r>
        <w:rPr>
          <w:b/>
        </w:rPr>
        <w:t>E. 6.1</w:t>
      </w:r>
    </w:p>
    <w:p>
      <w:r>
        <w:t>Bei diesem Ausgang des Verfahrens sind keine Verfahrenskosten aufzuerlegen (Art. 63 Abs. 1 VwVG). Das in der Eingabe vom 7. Februar 2009 (Poststempel: 10. Februar 2009) gestellte, bis anhin noch nicht behandelte Gesuch um Gewährung der unentgeltlichen Prozessführung (Art. 65 Abs. 1 VwVG) wird damit gegenstandslos.</w:t>
      </w:r>
    </w:p>
    <w:p>
      <w:r>
        <w:rPr>
          <w:b/>
        </w:rPr>
        <w:t>E. 6.2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Da dem nicht anwaltlich vertretenen Beschwerdeführer keine notwendigen Kosten im Sinne der gesetzlichen Bestimmungen entstanden sind, ist ihm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