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D-8458/2015 vom 9. Februar 2016</w:t>
      </w:r>
    </w:p>
    <w:p>
      <w:r>
        <w:t>Bundesverwaltungsgericht, 2016-02-09, DE</w:t>
      </w:r>
    </w:p>
    <w:p>
      <w:r>
        <w:rPr>
          <w:b/>
        </w:rPr>
        <w:t xml:space="preserve">Quelle: </w:t>
      </w:r>
      <w:r>
        <w:t>https://mcp.opencaselaw.ch/entscheid/bvger_D-8458_2015</w:t>
      </w:r>
    </w:p>
    <w:p>
      <w:r>
        <w:t>FR: TAF D-8458/2015 du 9 février 2016</w:t>
      </w:r>
    </w:p>
    <w:p>
      <w:r>
        <w:t>IT: TAF D-8458/2015 del 9 febbraio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Glaubhaftmachung im Sinne des Art. 7 Abs. 2 AsylG bedeutet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die für oder gegen den Gesuchsteller sprechen und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Urteil des Bundesverwaltungsgerichts D-5779/2013 E. 5.6.1 [als Referenzurteil publiziert] mit weiteren Hinweisen).</w:t>
      </w:r>
    </w:p>
    <w:p>
      <w:r>
        <w:rPr>
          <w:b/>
        </w:rPr>
        <w:t>E. 5.2</w:t>
      </w:r>
    </w:p>
    <w:p>
      <w:r>
        <w:t>Das Bundesverwaltungsgericht erachtet die Vorbringen des Beschwerdeführers als überaus substanziiert, detailliert, frei von Widersprüchen und somit als insgesamt glaubhaft. Trotz seines noch jungen Alters weisen seine Schilderungen in beiden Befragungen zahlreiche Realkennzeichen, wie Details, Sprünge in der Chronologie, spontane Berichtigungen, direkte Reden oder auch Namen auf (vgl. Akten SEM beispielsweise A2/10 S. 7; A10/18 F32 ff., F43, F64, F73). Dem Beschwerdeführer ist im Sinne seiner Argumentation in der Beschwerde zudem beizupflichten, dass die von der Vorinstanz aufgeführten Widersprüche nicht nachvollziehbar sind, da es sich in der Tat um in diesem Rahmen gewünschte Ergänzungen und Präzisierungen des Sachverhalts handelt. Insbesondere ist nochmals auf die Minderjährigkeit des Beschwerdeführers zu verweisen, welcher zum Zeitpunkt der Geschehnisse lediglich (...) und zum Zeitpunkt der Befragung (...) Jahre alt war. Gemäss Rechtsprechung des Bundesverwaltungsgerichts muss die Reife und das Alter einer minderjährigen asylsuchenden Person bei der Beurteilung der Glaubhaftigkeit berücksichtigt werden. Grundsätzlich gilt, je jünger die asylsuchende Person ist, desto tiefere Anforderungen sind an die Glaubhaftmachung zu stellen (BVGE 2014/30 E. 2.4 [Erwägung nicht publiziert]). Selbst ohne diese Berücksichtigung vermochte der Beschwerdeführer jedoch in durchgehend detaillierter und lebensnaher Weise seine Vorbringen mit einer Vielzahl von positiven Glaubhaftigkeitselementen zu schildern. Die eingereichten Fotos seiner Verletzungen sind als zusätzliche Indizien für die Glaubhaftigkeit der Vorbringen zu werten.</w:t>
      </w:r>
    </w:p>
    <w:p>
      <w:r>
        <w:rPr>
          <w:b/>
        </w:rPr>
        <w:t>E. 5.3</w:t>
      </w:r>
    </w:p>
    <w:p>
      <w:r>
        <w:t>Es ist an dieser Stelle zudem festzustellen, dass es die Vorinstanz unterlassen hat, den Sachverhalt mittels einfachen Massnahmen (wie beispielsweise Beizug der Visumsunterlagen sowie der Akten der zum Teil als Flüchtlinge anerkannten Familienmitglieder, Übersetzung respektive Aufforderung zur Übersetzung des eingereichten Arztberichts, Abklärung betreffend die Demonstration, an denen sie teilgenommen hätten, usw.) weiter abzuklären. Aufgrund der klar glaubhaften und, wie nachfolgend aufgezeigt, auch asylrelevanten Vorbringen des Beschwerdeführers ist der Sachverhalt - auch im Sinne der prioritären Behandlung der Asylgesuche von Minderjährigen nach Art. 17 Abs. 2bis AsylG - als genügend erstellt zu bezeichnen.</w:t>
      </w:r>
    </w:p>
    <w:p>
      <w:r>
        <w:rPr>
          <w:b/>
        </w:rPr>
        <w:t>E. 6.1</w:t>
      </w:r>
    </w:p>
    <w:p>
      <w:r>
        <w:t>Seit Ausbruch des Konflikts im März 2011 gehen die staatlichen syrischen Sicherheitskräfte gegen tatsächliche oder vermeintliche Regimegegner mit grösster Brutalität und Rücksichtslosigkeit vor. Personen, die sich an regimekritischen Demonstrationen beteiligt haben, sind in grosser Zahl von Verhaftung, Folter und willkürlicher Tötung betroffen. Werden sie durch die staatlichen syrischen Sicherheitskräfte als Regimegegner identifiziert, haben sie eine Behandlung zu erwarten, die einer flüchtlingsrechtlich relevanten Verfolgung im Sinne von Art. 3 AsylG gleichkommt (vgl. Urteil des Bundesverwaltungsgerichts D-5779/2013 vom 25. Februar 2015 E. 5.7.2 [als Referenzurteil publiziert])</w:t>
      </w:r>
    </w:p>
    <w:p>
      <w:r>
        <w:rPr>
          <w:b/>
        </w:rPr>
        <w:t>E. 6.2</w:t>
      </w:r>
    </w:p>
    <w:p>
      <w:r>
        <w:t>Bereits aufgrund der gezielten siebentägigen Inhaftnahme und Misshandlung des Beschwerdeführers durch die syrischen Sicherheitskräfte ist davon auszugehen, dass der Beschwerdeführer in Folge seiner Beteiligung an einer regimekritischen Demonstration im Zeitraum seit dem Ausbruch des derzeitigen Konflikts in Syrien, seinem familiären Hintergrund sowie seiner ethnischen Zugehörigkeit durch die staatlichen Sicherheitskräfte als Regimegegner identifiziert wurde. Es erweist sich somit, dass der Beschwerdeführer im Falle einer Rückkehr nach Syrien zum heutigen Zeitpunkt ernsthafte Nachteile im Sinne von Art. 3 AsylG zu befürchten hätte. Aufgrund dieses Ausgangs des Verfahrens erübrigt es sich auf die übrigen Vorbringen näher einzugehen. Momentan ist ferner keine Möglichkeit eines adäquaten Schutzes vor Verfolgungsmassnahmen des staatlichen syrischen Regimes ersichtlich. Eine innerstaatliche Fluchtalternative ist folglich nicht gegeben (vgl. Urteil des Bundesverwaltungsgerichts D-5779/2013 E. 5.8 f. [als Referenzurteil publiziert]).</w:t>
      </w:r>
    </w:p>
    <w:p>
      <w:r>
        <w:rPr>
          <w:b/>
        </w:rPr>
        <w:t>E. 6.3</w:t>
      </w:r>
    </w:p>
    <w:p>
      <w:r>
        <w:t>Auf eine eingehende Prüfung einer zusätzlichen Gefährdung des Beschwerdeführers aufgrund der oppositionellen Tätigkeiten seines Bruders (gemäss den Ausführungen in der Beschwerde) kann angesichts dieses Ausgangs des Verfahrens verzichtet werden.</w:t>
      </w:r>
    </w:p>
    <w:p>
      <w:r>
        <w:rPr>
          <w:b/>
        </w:rPr>
        <w:t>E. 7</w:t>
      </w:r>
    </w:p>
    <w:p>
      <w:r>
        <w:t>Aufgrund der Aktenlage besteht weiter kein Grund zur Annahme einer Asylunwürdigkeit des Beschwerdeführers im Sinne von Art. 53 AsylG.</w:t>
      </w:r>
    </w:p>
    <w:p>
      <w:r>
        <w:rPr>
          <w:b/>
        </w:rPr>
        <w:t>E. 8</w:t>
      </w:r>
    </w:p>
    <w:p>
      <w:r>
        <w:t>Diesen Erwägungen gemäss ist die Beschwerde gutzuheissen, die Verfügung des SEM vom 27. November 2015 aufzuheben und das SEM anzuweisen, dem Beschwerdeführer in der Schweiz Asyl zu gewähren.</w:t>
      </w:r>
    </w:p>
    <w:p>
      <w:r>
        <w:rPr>
          <w:b/>
        </w:rPr>
        <w:t>E. 9.1</w:t>
      </w:r>
    </w:p>
    <w:p>
      <w:r>
        <w:t>Bei diesem Ausgang des Verfahrens sind keine Kosten zu erheben (Art. 63 Abs. 3 VwVG i.V.m. Art. 37 VGG).</w:t>
      </w:r>
    </w:p>
    <w:p>
      <w:r>
        <w:rPr>
          <w:b/>
        </w:rPr>
        <w:t>E. 9.2</w:t>
      </w:r>
    </w:p>
    <w:p>
      <w:r>
        <w:t>Das Beschwerdeverfahren ist mit vorliegendem Urteil abgeschlossen, weshalb sich das Gesuch um Verzicht auf die Erhebung eines Kostenvorschusses als gegenstandslos erweist.</w:t>
      </w:r>
    </w:p>
    <w:p>
      <w:r>
        <w:rPr>
          <w:b/>
        </w:rPr>
        <w:t>E. 9.3</w:t>
      </w:r>
    </w:p>
    <w:p>
      <w:r>
        <w:t>Dem vertretenen Beschwerdeführer ist angesichts seines Obsiegens in Anwendung von Art. 64 Abs. 1 VwVG und Art. 7 Abs. 1 des Reglements vom 21. Februar 2008 über die Kosten und Entschädigungen vor dem Bundesverwaltungsgericht (VGKE, SR 173.320.2) eine Entschädigung für die ihm erwachsenen notwendigen und verhältnismässig hohen Kosten zuzusprechen. Eine Kostennote wurde bisher nicht zu den Akten gereicht. Auf das Nachfordern einer solchen kann indes verzichtet werden, da sich der notwendige Vertretungsaufwand aufgrund der Akten hinreichend zuverlässig abschätzen lässt. Gestützt auf die in Betracht zu ziehenden Bemessungsfaktoren (Art. 9-13 VGKE) ist dem Beschwerdeführer zu Lasten der Vorinstanz eine Parteientschädigung von Fr. 2000.-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