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D-844/2011 vom 10. Januar 2012</w:t>
      </w:r>
    </w:p>
    <w:p>
      <w:r>
        <w:t>Bundesverwaltungsgericht, 2012-01-10, DE</w:t>
      </w:r>
    </w:p>
    <w:p>
      <w:r>
        <w:rPr>
          <w:b/>
        </w:rPr>
        <w:t xml:space="preserve">Quelle: </w:t>
      </w:r>
      <w:r>
        <w:t>https://mcp.opencaselaw.ch/entscheid/bvger_D-844_2011</w:t>
      </w:r>
    </w:p>
    <w:p>
      <w:r>
        <w:t>FR: TAF D-844/2011 du 10 janvier 2012</w:t>
      </w:r>
    </w:p>
    <w:p>
      <w:r>
        <w:t>IT: TAF D-844/2011 del 10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sich darauf beruft, dass durch sein Verhalten nach der Ausreiseaus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Entscheidungen und Mitteilungen der Schweizerischen Asylrekurskommission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5.1</w:t>
      </w:r>
    </w:p>
    <w:p>
      <w:r>
        <w:t>Nach Prüfung der Akten durch das Gericht ist - in Übereinstimmung mit der Vorinstanz - festzustellen, dass nicht mit überwiegender Wahrscheinlichkeit davon auszugehen ist, dass die Beschwerdeführerin im Falle einer Rückkehr in den Heimatstaat befürchten muss, dort ernsthafte Nachteile im Sinne von Art. 3 AsylG zu erleiden; zur Vermeidung von Wiederholungen wird auf die zutreffenden vorinstanzlichen Erwägungen verwiesen ist (vgl. Erwägung B. vorstehend). Der Rechtsmitteleingabe sind keine stichhaltigen Entgegnungen zu entnehmen, zumal die Beschwerdeführerin im Wesentlichen ihre bisherigen Vorbringen wiederholt, und daran festhält. Der Vollständigkeit halber ist festzuhalten, dass die Beschwerdeführerin bereits im ersten Asylverfahren auf Beschwerdeebene subjektive Nachfluchtgründe geltend gemacht hat und rechtskräftig festgestellt worden ist, diese seien, trotz einer gewissen Nähe der Beschwerdeführerin zur OLF, nicht geeignet, eine Furcht vor asylrechtlich relevanter Verfolgungsmassnahmen seitens der äthiopischen Behörden im Sinne von Art. 3 AsylG glaubhaft zu machen (vgl. Urteil des Bundesverwaltungsgerichts D-7006/2007 vom 12. Oktober 2010 E.11.3).</w:t>
      </w:r>
    </w:p>
    <w:p>
      <w:r>
        <w:rPr>
          <w:b/>
        </w:rPr>
        <w:t>E. 5.2</w:t>
      </w:r>
    </w:p>
    <w:p>
      <w:r>
        <w:t>Zusammenfassend ist festzuhalten, dass es der Beschwerdeführerin nicht gelungen ist nachzuweisen oder zumindest glaubhaft zu machen, dass sie in der Heimat ernsthafte Nachteile gemäss Art. 3 AsylG erlitten hat oder solche bei ihrer Rückkehr nach Äthiopien befürchten muss. Die Beschwerdevorbringen und die eingereichten Beweismittel vermögen zu keiner anderen Betrachtungsweise zu führen, weshalb es sich erübrigt, weiter darauf einzugehen. Die Beschwerdeführerin erfüllt somit die Voraussetzungen zur Zuerkennung der Flüchtlingseigenschaft nicht, weshalb die Vorinstanz das Asylbegehren zu Recht und mit zutreffender Begründung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In Äthiopien herrscht zurzeit keine Situation allgemeiner Gewalt, weshalb in konstanter Praxis von der generellen Zumutbarkeit des Wegweisungsvollzugs nach Äthiopien ausgegangen wird (vgl. beispielsweise Urteil des Bundesverwaltungsgerichts D-4738/2010 vom 3. Februar 2011; bereits EMARK 1998 Nr. 22). Seit der Unterzeichnung des Friedensabkommens zwischen Äthiopien und Eritrea am 12. Dezember 2000 kontrollieren UNO-Soldaten die Grenze zwischen den beiden Ländern. Zwar konnten diese ein sporadisches Wiederaufflackern des Grenzkonfliktes nicht verhindern. Eine landesweite Situation allgemeiner Gewalt ist dadurch aber nicht entstanden. Entsprechend muss nicht von einer konkreten Gefährdung der Beschwerdeführerin ausgegangen werden. Auch aufgrund der persönlichen Situation der Beschwerdeführerin sind keine Gründe ersichtlich, die gegen die Zumutbarkeit des Wegweisungsvollzugs sprechen. Sie hat die prägenden Kinder- und Jugendjahre in Äthiopien verbracht, und in ihrem Heimatland als "commercialista" (vgl. Akten der Vorinstanz A1/10 S. 2 F. 8) gearbeitet, weshalb anzunehmen ist, sie könne sich in Äthiopien wirtschaftlich wieder integrieren. Gemäss ihren Angaben leben ihre Eltern sowie ihre Geschwister nach wie vor in ihrer Heimat (vgl. A1/10 S. 3 F. 12). Vor diesem Hintergrund ist davon auszugehen, dass die Beschwerdeführerin in ihrem Heimatland über ein soziales Beziehungsnetz verfügt, welches ihr eine Reintegration erleichtern wird. Blosse soziale und wirtschaftliche Schwierigkeiten, von denen die ansässige Bevölkerung im Allgemeinen betroffen ist, genügen nicht, um eine Gefahr im Sinne von Art. 83 Abs. 4 AuG darzustellen (vgl. die weiterhin zutreffende Praxis der ARK in EMARK 1996 Nr. 2 S. 12 f. und EMARK 2005 Nr. 24 E. 10.1 S. 215). Nach dem Gesagten ist der Vollzug der Wegweisung somit auch als zumutbar zu bezeichnen.</w:t>
      </w:r>
    </w:p>
    <w:p>
      <w:r>
        <w:rPr>
          <w:b/>
        </w:rPr>
        <w:t>E. 7.6</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der Beschwerde­füh­rerin aufzuerlegen (Art. 63 Abs. 1 VwVG), auf insgesamt Fr. 600.- festzusetzen (Art. 1 - 3 des Reglements vom 21. Februar 2008 über die Kosten und Entschädigungen vor dem Bundesverwaltungsgericht [VGKE, SR 173.320.2]) und mit dem am 16. Februar 2011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