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D-8447/2015 vom 12. Januar 2016</w:t>
      </w:r>
    </w:p>
    <w:p>
      <w:r>
        <w:t>Bundesverwaltungsgericht, 2016-01-12, IT</w:t>
      </w:r>
    </w:p>
    <w:p>
      <w:r>
        <w:rPr>
          <w:b/>
        </w:rPr>
        <w:t xml:space="preserve">Quelle: </w:t>
      </w:r>
      <w:r>
        <w:t>https://mcp.opencaselaw.ch/entscheid/bvger_D-8447_2015</w:t>
      </w:r>
    </w:p>
    <w:p>
      <w:r>
        <w:t>FR: TAF D-8447/2015 du 12 janvier 2016</w:t>
      </w:r>
    </w:p>
    <w:p>
      <w:r>
        <w:t>IT: TAF D-8447/2015 del 12 gennaio 2016</w:t>
      </w:r>
    </w:p>
    <w:p>
      <w:pPr>
        <w:pStyle w:val="Heading2"/>
      </w:pPr>
      <w:r>
        <w:t>Regeste</w:t>
      </w:r>
    </w:p>
    <w:p>
      <w:r>
        <w:t>Asilo (non entrata nel merito / procedura Dublino) ed allontanamento</w:t>
      </w:r>
    </w:p>
    <w:p>
      <w:pPr>
        <w:pStyle w:val="Heading2"/>
      </w:pPr>
      <w:r>
        <w:t>Erwägungen</w:t>
      </w:r>
    </w:p>
    <w:p>
      <w:r>
        <w:rPr>
          <w:b/>
        </w:rPr>
        <w:t>E. 1.1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2 LAsi), alla forma e al contenuto dell'atto di ricorso (art. 52 cpv. 1 PA) sono soddisfatti.</w:t>
      </w:r>
    </w:p>
    <w:p>
      <w:r>
        <w:rPr>
          <w:b/>
        </w:rPr>
        <w:t>E. 1.2</w:t>
      </w:r>
    </w:p>
    <w:p>
      <w:r>
        <w:t>Nell'ambito di un ricorso contro una decisione di non entrata nel merito, l'autorità di ricorso si limita, secondo prassi, a esaminare se l'autorità inferiore ha rifiutato a giusto titolo di entrare nel merito della domanda d'asilo (cfr. DTAF 2012/4 consid. 2.2). Di conseguenza, la conclusione ricorsuale tendente all'annullamento della decisione impugnata e al rinvio degli atti di causa per il rilascio di un permesso di soggiorno a titolo di ricongiungimento familiare è inammissibile. Nei citati limiti, occorre dunque entrare nel merito del ricorso.</w:t>
      </w:r>
    </w:p>
    <w:p>
      <w:r>
        <w:rPr>
          <w:b/>
        </w:rPr>
        <w:t>E. 2.1</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redatta in italiano, mentre il ricorso è stato trasmesso in francese. La presente sentenza è dunque redatta in italiano.</w:t>
      </w:r>
    </w:p>
    <w:p>
      <w:r>
        <w:rPr>
          <w:b/>
        </w:rPr>
        <w:t>E. 2.2</w:t>
      </w:r>
    </w:p>
    <w:p>
      <w:r>
        <w:t>Di regola, il Tribunale giudica nella composizione di tre giudici (art. 21 cpv. 1 LTAF). In applicazione dell'art. 111a cpv. 1 LAsi, anche in questi casi il Tribunale può rinunciare allo scambio degli scritti.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a carico del richiedente l'asilo da parte dello Stato in questione.</w:t>
      </w:r>
    </w:p>
    <w:p>
      <w:r>
        <w:rPr>
          <w:b/>
        </w:rPr>
        <w:t>E. 4.2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 Contrariamente, nel caso di una procedura di ripresa in carico (inglese: take back), di principio non viene effettuato un nuovo esame di determinazione dello stato membro competente secondo il capo III (cfr. DTAF 2012/4 consid. 3.2.1 e giurisprudenza ivi citata),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4.3</w:t>
      </w:r>
    </w:p>
    <w:p>
      <w:r>
        <w:t>Lo Stato membro competente in forza del presente regolamento è tenuto a prendere in carico - in ossequio alle condizioni poste agli art. 21, 22 e 29 - il richiedente che ha presentato la domanda in un altro Stato membro (art. 18 par. 1 lett. a Regolamento Dublino III).</w:t>
      </w:r>
    </w:p>
    <w:p>
      <w:r>
        <w:rPr>
          <w:b/>
        </w:rPr>
        <w:t>E. 4.4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5.1</w:t>
      </w:r>
    </w:p>
    <w:p>
      <w:r>
        <w:t>Nel caso di specie, l'insorgente ha indicato aver ottenuto un visto rilasciato dalla Croazia (cfr. verbale, pagg. 6 e 8). Tale informazione è stata confermata dalle autorità croate in data 11 novembre 2015 (cfr. atto A16/1). In data 17 novembre 2015 la SEM ha dunque presentato alle autorità croate competenti, nei termini fissati all'art. 21 par. 1 Regolamento Dublino III, una richiesta di presa in carico fondata sull'art. 12 par. 4 Regolamento Dublino III (cfr. atto A17/7). Il 24 novembre 2015, queste autorità hanno espressamente accettato il trasferimento della ricorrente verso la Croazia, in applicazione della stessa disposizione (cfr. atto A20/2). Di conseguenza, la competenza della Croazia è di principio data.</w:t>
      </w:r>
    </w:p>
    <w:p>
      <w:r>
        <w:rPr>
          <w:b/>
        </w:rPr>
        <w:t>E. 5.2</w:t>
      </w:r>
    </w:p>
    <w:p>
      <w:r>
        <w:t>La ricorrente fa tuttavia implicitamente valere la competenza della Svizzera per l'analisi della sua domanda d'asilo, data la presenza di B._______ in Svizzera. Di seguito, va pertanto analizzato se l'art. 9 Regolamento Dublino III trova applicazione nella fattispecie.</w:t>
      </w:r>
    </w:p>
    <w:p>
      <w:r>
        <w:rPr>
          <w:b/>
        </w:rPr>
        <w:t>E. 5.2.1</w:t>
      </w:r>
    </w:p>
    <w:p>
      <w:r>
        <w:t>Ai sensi dell'art. 9 Regolamento Dublino III - disposizione direttamente applicabile (cfr. sentenza del TAF E-6513/2014 del 3 dicembre 2015 [prevista per la pubblicazione] consid. 5.4) - se un familiare del richiedente, a prescindere dal fatto che la famiglia fosse già costituita nel paese di origine, è stato autorizzato a soggiornare in qualità di beneficiario di protezione internazionale in uno Stato membro, tale Stato membro è competente per l'esame della domanda di protezione internazionale, purché gli interessati abbiano espresso tale desiderio per iscritto. Giusta l'art. 2 lett. g Regolamento Dublino III per "familiari" si intende, tra gli altri, il coniuge del richiedente o il partner non legato da vincoli di matrimonio con cui abbia una relazione stabile, qualora il diritto o la prassi dello Stato membro interessato assimilino la situazione delle coppie di fatto a quelle sposate nel quadro della normativa sui cittadini di paesi terzi. Secondo l'art. 1a lett. e dell'ordinanza 1 sull'asilo relativa a questioni procedurali dell'11 agosto 1999 (OAsi 1, RS 142.311), sono equiparati ai coniugi i partner registrati e le persone che vivono in unione duratura simile a quella coniugale; nel quadro della procedura Dublino, le nozioni di familiari e parenti sono rette dal Regolamento Dublino III.</w:t>
      </w:r>
    </w:p>
    <w:p>
      <w:r>
        <w:rPr>
          <w:b/>
        </w:rPr>
        <w:t>E. 5.2.2</w:t>
      </w:r>
    </w:p>
    <w:p>
      <w:r>
        <w:t>In casu, il Tribunale rileva innanzitutto che B._______ non si è mai manifestato personalmente presso le autorità competenti e non ha dunque espresso per iscritto il desiderio che sia la Svizzera a trattare la domanda d'asilo della compagna. In secondo luogo va poi osservato che la ricorrente e il compagno non rientrano nella nozione di familiari ai sensi dell'art. 2 lett. g Regolamento Dublino III. Invero, le dichiarazioni circa il presunto matrimonio religioso tra l'insorgente e B._______ sono oltremodo contraddittorie. Ella ha in un primo tempo allegato di averlo conosciuto nel 2004, di aver iniziato una relazione nel 2010 e di essersi sposata religiosamente nello stesso anno (cfr. verbale pag. 4), per poi indicare in sede ricorsuale di avere sposato il compagno secondo gli usi e i costumi turchi unicamente in dicembre 2015. Le allegazioni, oltre ad essere contraddittorie, non sono nemmeno supportate dal alcun elemento probatorio. L'interessata non ha infatti fornito alcun documento che attesti l'asserita unione, per il che, il Tribunale ritiene la stessa inverosimile. Infine, la relazione tra l'insorgente ed il compagno non può essere neppure ritenuta stabile. Pur ammettendo, come allegato dalla ricorrente, che la relazione sia già iniziata in Turchia nel 2010, la stessa non può essere definita come duratura ed effettiva poiché la convivenza è durata al massimo un anno in Turchia e poco più di tre mesi.</w:t>
      </w:r>
    </w:p>
    <w:p>
      <w:r>
        <w:rPr>
          <w:b/>
        </w:rPr>
        <w:t>E. 5.2.3</w:t>
      </w:r>
    </w:p>
    <w:p>
      <w:r>
        <w:t>Pertanto, come rettamente ritenuto dall'autorità inferiore nella decisione impugnata, l'art. 9 Regolamento Dublino III non trova applicazione nella fattispecie e di conseguenza è confermata la competenza della Croazia.</w:t>
      </w:r>
    </w:p>
    <w:p>
      <w:r>
        <w:rPr>
          <w:b/>
        </w:rPr>
        <w:t>E. 6</w:t>
      </w:r>
    </w:p>
    <w:p>
      <w:r>
        <w:t>Quo alla procedura di asilo e di accoglienza dei richiedenti in Croazia non vi sono fondati motivi di ritenere che sussistano carenze sistemiche nella procedura di asilo e nelle condizioni di accoglienza dei richiedenti, che implichino il rischio di un trattamento inumano o degradante ai sensi dell'art. 4 della CartaUE (cfr. art. 3 par. 2 2a frase Regolamento Dublino III). La Croazia è peraltro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Conseguentemente, visto tutto quanto precede l'applicazione dell'art. 3 par. 2 2a frase Regolamento Dublino III non si giustifica nel caso di specie.</w:t>
      </w:r>
    </w:p>
    <w:p>
      <w:r>
        <w:rPr>
          <w:b/>
        </w:rPr>
        <w:t>E. 7</w:t>
      </w:r>
    </w:p>
    <w:p>
      <w:r>
        <w:t>L'insorgente, con le sue allegazioni vorrebbe poi fare intendere una violazione dell'unità della famiglia e riterrebbe sproporzionato il trasferimento giacché il matrimonio con il compagno potrebbe avvenire a breve. Con ciò, in modo implicito, la ricorrente fa riferimento alla clausola di sovranità di cui all'art. 17 par. 1 Regolamento Dublino III, rispettivamente all'art. 29a cpv. 3 OAsi 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w:t>
      </w:r>
    </w:p>
    <w:p>
      <w:r>
        <w:rPr>
          <w:b/>
        </w:rPr>
        <w:t>E. 7.1</w:t>
      </w:r>
    </w:p>
    <w:p>
      <w:r>
        <w:t>Preliminarmente, la ricorrente non ha dimostrato che lo Stato di destinazione non sia intenzionato a prenderla in carico ed a portare a termine la procedura relativa alla sua domanda di protezione in violazione della direttiva procedura. Inoltre, la ricorrente non ha apportato qualsivoglia indizio serio e concreto suscettibile di dimostrare che lo Stato di destinazione non rispetterebbe il principio del divieto di respingimento e, dunque, verrebbe meno nell'ossequio dei suoi obblighi internazionali, riviandola in un paese dove la sua vita, integrità corporale o libertà sarebbero seriamente minacciate o da dove rischierebbe di essere respinta in un tale paese. Agli atti non figurano elementi tali da indurre a concludere che un trasferimento nello Stato in questione esporrebbe la ricorrente al rischio di essere privata del sostentamento minimo e di subire delle condizioni di vita indegna in violazione della direttiva accoglienza. In altre parole, ella non ha fornito indizi seri suscettibili di comprovare che le sue condizioni di vita o la sua situazione personale sarebbero tali da contravvenire all'art. 4 della CartaUE, all'art. 3 CEDU o all'art. 3 Conv. tortura in caso di esecuzione del trasferimento in Croazia. Ad ogni modo, appartiene alla ricorrente sollevare l'eventuale violazione dei suoi diritti fondamentali, utilizzando le adeguate vie di diritto dinanzi alle autorità dello Stato in questione.</w:t>
      </w:r>
    </w:p>
    <w:p>
      <w:r>
        <w:rPr>
          <w:b/>
        </w:rPr>
        <w:t>E. 7.2</w:t>
      </w:r>
    </w:p>
    <w:p>
      <w:r>
        <w:t>Per quanto attiene all'unità della famiglia, per i concubini è possibile dedurre un diritto al rispetto della vita familiare giusta l'art. 8 CEDU qualora si possa elevare la relazione a "vita familiare" prendendo in considerazione elementi come la coabitazione, la durata della stessa e la presenza di figli comuni (cfr. sentenza della CorteEDU Serife Yigit contro Turchia del 2 novembre 2010, 3976/05, §§ 93 seg. e § 96 con rinvii; DTF 137 I 113 consid. 6.1). Per unione duratura s'intende un'unione di vita di una certa durata tra due persone di carattere in principio esclusivo, la quale presenta una componente tanto spirituale quanto fisica ed economica, talvolta pure designata come unione di tetto, di tavolo e di letto (cfr. DTAF 2012/4 consid. 3.3.2). Per invocare il diritto al rispetto della vita familiare ex art. 8 CEDU, lo straniero non soltanto deve provare la presenza di una relazione stretta ed effettiva con una persona della sua famiglia, ma pure quest'ultima deve avere un diritto di presenza assicurato o duraturo in Svizzera (cfr. DTAF 2013/49 consid. 8.4.1 e relativi riferimenti, 2012/4 consid. 4.3 e relativi riferimenti). In casu è pacifico che B._______ ha un diritto di presenza duraturo in Svizzera, tuttavia la relazione tra i due non può essere definita come duratura ed effettiva (cfr. supra consid. 5.2). Inoltre, il fatto di essere incinta non è allo stadio attuale un indizio, a lui solo, atto ad elevare la loro relazione come duratura, stretta ed effettiva. Con il trasferimento dell'interessata verso la Croazia il Tribunale non ravvede quindi una violazione dell'art. 8 CEDU.</w:t>
      </w:r>
    </w:p>
    <w:p>
      <w:r>
        <w:rPr>
          <w:b/>
        </w:rPr>
        <w:t>E. 7.3</w:t>
      </w:r>
    </w:p>
    <w:p>
      <w:r>
        <w:t>Per ciò che concerne l'intenzione di celebrare a breve il matrimonio con il compagno, il Tribunale osserva che un possibile matrimonio non costituisce un impedimento al trasferimento, soprattutto poiché una procedura di preparazione del matrimonio è possibile anche quando gli sposi non vivono in Svizzera (art. 62 segg. dell'ordinanza sullo stato civile [OSC; RS 211.112.2; cfr. sentenza del TAF E-5023/2015 del 25 agosto 2015 pag. 9).</w:t>
      </w:r>
    </w:p>
    <w:p>
      <w:r>
        <w:rPr>
          <w:b/>
        </w:rPr>
        <w:t>E. 7.4</w:t>
      </w:r>
    </w:p>
    <w:p>
      <w:r>
        <w:t>Parimenti, non costituisce neppure un impedimento al trasferimento lo stato di salute della ricorrente. Pur essendo in stato interessante, ella si trova in buona salute, il problema all'occhio si è risolto e la vista è tornata alla normalità (cfr. verbale d'interrogatorio della Polizia Cantonale del 21 dicembre 2015).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All'occorrenza tale non è il caso della ricorrente ed inoltre lo Stato di destinazione dispone di infrastrutture mediche sufficienti. Dipoi, in quanto Stato firmatario della direttiva accoglienza, la Croazia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L'insorgente può quindi essere trasferita in Croazia nelle modalità descritte nella decisione della SEM del 10 dicembre 2015. Come correttamente rilevato dall'autorità inferiore e conformemente all'art. 31 Regolamento Dublino III, le autorità croate saranno debitamente informate dello stato di salute dell'insorgente al momento dell'organizzazione del trasferimento. Pertanto il Tribunale conferma anche su questo punto la posizione della SEM.</w:t>
      </w:r>
    </w:p>
    <w:p>
      <w:r>
        <w:rPr>
          <w:b/>
        </w:rPr>
        <w:t>E. 7.5</w:t>
      </w:r>
    </w:p>
    <w:p>
      <w:r>
        <w:t>In conclusione, la SEM, nell'applicazione dell'art. 29a cpv. 3 OAsi 1, dispone di potere discrezionale (cfr. DTAF 2015/9 consid. 7 seg.). Con l'abrogazione della lett. c dell'art. 106 cpv. 1 LAsi, entrato in vigore il 1° febbraio 2014, il potere d'esame del Tribunale si è ridotto e pertanto il Tribunale può e deve unicamente controllare se l'autorità inferiore ha esercitato il suo potere discrezionale ovvero valutare se la SEM ha fatto uso di tale potere e se l'ha fatto secondo criteri oggettivi e trasparenti. Qualora fosse il caso il Tribunale non può sostituire il suo potere discrezionale con quello della SEM. Nella presente fattispecie, non ci sono elementi per ritenere che l'autorità inferiore abbia esercitato in maniera arbitraria il suo potere discrezionale.</w:t>
      </w:r>
    </w:p>
    <w:p>
      <w:r>
        <w:rPr>
          <w:b/>
        </w:rPr>
        <w:t>E. 7.6</w:t>
      </w:r>
    </w:p>
    <w:p>
      <w:r>
        <w:t>Pertanto, non vi è motivo di applicare la clausola discrezionale di cui all'art. 17 par. 1 Regolamento Dublino III (clausola di sovranità).</w:t>
      </w:r>
    </w:p>
    <w:p>
      <w:r>
        <w:rPr>
          <w:b/>
        </w:rPr>
        <w:t>E. 8</w:t>
      </w:r>
    </w:p>
    <w:p>
      <w:r>
        <w:t>Di conseguenza, in mancanza dell'applicazione di tale norma da parte della Svizzera, la Croazia è competente dell'esame della domanda di asilo della ricorrente ai sensi Regolamento Dublino III ed è tenuto a prenderla in carico in ossequio alle condizioni poste agli art. 21, 22, 29 Regolamento Dublino III. È quindi a giusto titolo che la SEM non è entrata nel merito della domanda di asilo della ricorrente, in applicazione dell'art. 31a cpv. 1 lett. b LAsi ed ha pronunciato il suo trasferimento verso la Croazia conformemente all'art. 44 LAsi, posto che la ricorrente non possiede un'autorizzazione di soggiorno in Svizzera e non ha sollecitato l'autorità cantonale competente per il rilascio di un'eventuale autorizzazione (cfr. art. 32 lett. a OAsi 1; DTAF 2013/37 consid. 4.4.2.2). In questo senso, un'eventuale apertura di una procedura preparatoria del matrimonio non è un elemento sufficiente per permettere al Tribunale di annullare la pronuncia dell'allontanamento (cfr. DTAF 2013/37 consid. 4.4.2.2).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2010/45 consid. 10). Visto quanto precede, il ricorso deve essere respinto e la decisione della SEM, che rifiuta l'entrata nel merito della domanda d'asilo e pronuncia il trasferimento dalla Svizzera verso la Croazia, confermata.</w:t>
      </w:r>
    </w:p>
    <w:p>
      <w:r>
        <w:rPr>
          <w:b/>
        </w:rPr>
        <w:t>E. 9.1</w:t>
      </w:r>
    </w:p>
    <w:p>
      <w:r>
        <w:t>In virtù di quanto precedentemente enunciato, le conclusioni ricorsuali tendenti all'annullamento della decisione impugnata ed alla trasmissione degli atti all'autorità inferiore per nuova decisione vanno respinte.</w:t>
      </w:r>
    </w:p>
    <w:p>
      <w:r>
        <w:rPr>
          <w:b/>
        </w:rPr>
        <w:t>E. 9.2</w:t>
      </w:r>
    </w:p>
    <w:p>
      <w:r>
        <w:t>Va pure respinta la richiesta di concessione di un termine supplementare di trenta giorni per poter fornire la prova del deposito dei documenti per la procedura preparatoria del matrimonio e completare il ricorso. L'apertura della procedura preparatoria del matrimonio non modificherebbe infatti l'esito della procedura (cfr. supra consid. 8).</w:t>
      </w:r>
    </w:p>
    <w:p>
      <w:r>
        <w:rPr>
          <w:b/>
        </w:rPr>
        <w:t>E. 9.3</w:t>
      </w:r>
    </w:p>
    <w:p>
      <w:r>
        <w:t>In limine, al Tribunale preme ricordare che la procedura d'asilo non ha come fine quello di ottenere un'autorizzazione di soggiorno in vista di matrimonio e non è, in nessun caso, utilizzabile per aggirare i disposti legali del diritto degli stranieri. L'eventuale richiesta di rilascio di un'autorizzazione di soggiorno in vista di matrimonio va pertanto inoltrata direttamente alle autorità cantonali competenti.</w:t>
      </w:r>
    </w:p>
    <w:p>
      <w:r>
        <w:rPr>
          <w:b/>
        </w:rPr>
        <w:t>E. 10</w:t>
      </w:r>
    </w:p>
    <w:p>
      <w:r>
        <w:t>Avendo il Tribunale statuito nel merito del ricorso, la domanda di concessione dell'effetto sospensivo è divenuta senza oggetto.</w:t>
      </w:r>
    </w:p>
    <w:p>
      <w:r>
        <w:rPr>
          <w:b/>
        </w:rPr>
        <w:t>E. 11</w:t>
      </w:r>
    </w:p>
    <w:p>
      <w:r>
        <w:t>Con la presente sentenza le misure supercautelari pronunciate il 30 dicembre 2015 sono revocate.</w:t>
      </w:r>
    </w:p>
    <w:p>
      <w:r>
        <w:rPr>
          <w:b/>
        </w:rPr>
        <w:t>E. 12.1</w:t>
      </w:r>
    </w:p>
    <w:p>
      <w:r>
        <w:t>Avendo il Tribunale statuito nel merito del ricorso, la domanda di esenzione dal versamento di un anticipo equivalente alle presumibili spese processuali è divenuta senza oggetto.</w:t>
      </w:r>
    </w:p>
    <w:p>
      <w:r>
        <w:rPr>
          <w:b/>
        </w:rPr>
        <w:t>E. 12.2</w:t>
      </w:r>
    </w:p>
    <w:p>
      <w:r>
        <w:t>Infine, ritenute le allegazioni ricorsuali sprovviste di probabilità di esito favorevole, la domanda di assistenza giudiziaria, nel senso della dispensa dal versamento delle spese processuali, è respinta.</w:t>
      </w:r>
    </w:p>
    <w:p>
      <w:r>
        <w:rPr>
          <w:b/>
        </w:rPr>
        <w:t>E. 12.3</w:t>
      </w:r>
    </w:p>
    <w:p>
      <w:r>
        <w:t>Visto l'esito della procedura, le spese processuali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