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D-8440/2010 vom 8. September 2011</w:t>
      </w:r>
    </w:p>
    <w:p>
      <w:r>
        <w:t>Bundesverwaltungsgericht, 2011-09-08, DE</w:t>
      </w:r>
    </w:p>
    <w:p>
      <w:r>
        <w:rPr>
          <w:b/>
        </w:rPr>
        <w:t xml:space="preserve">Quelle: </w:t>
      </w:r>
      <w:r>
        <w:t>https://mcp.opencaselaw.ch/entscheid/bvger_D-8440_2010</w:t>
      </w:r>
    </w:p>
    <w:p>
      <w:r>
        <w:t>FR: TAF D-8440/2010 du 8 septembre 2011</w:t>
      </w:r>
    </w:p>
    <w:p>
      <w:r>
        <w:t>IT: TAF D-8440/2010 del 8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grundsätzlich (mit einer hier nicht zutreffenden Ausnahme)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 formeller Hinsicht ist zunächst festzuhalten, dass gemäss Art. 19 Abs. 1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Im vorliegenden Fall wurden diese gesetzlichen Bestimmungen durch die Einholung detaillierter Informationen durch die schweizerische Botschaft, die Befragung der Beschwerdeführerin sowie den entsprechenden Bericht der schweizerischen Vertretung praxisgemäss Genüge getan (vgl. BVGE 2007/30).</w:t>
      </w:r>
    </w:p>
    <w:p>
      <w:r>
        <w:rPr>
          <w:b/>
        </w:rPr>
        <w:t>E. 5.1</w:t>
      </w:r>
    </w:p>
    <w:p>
      <w:r>
        <w:t>Das BFM kann ein im Ausland gestelltes Asylgesuch ablehnen, wenn die asylsuchenden Personen keine Verfolgung geltend machen können oder ihnen die Aufnahme in einem Drittstaat zugemutet werden kann (vgl. Art. 3, Art. 7 und Art. 52 Abs. 2 AsylG). Gemäss Art. 20 Abs. 2 AsylG bewillig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zur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2004 Nr. 21 E. 2b, EMARK 1997 Nr. 15 E. 2e-g). Ausschlaggebend für die Erteilung der Einreisebewilligung ist die Schutzbedürftigkeit der betroffenen Personen (vgl. EMARK 1997 Nr. 15 E. 2c), mithin die Prüfung der Frage, ob eine Gefährdung im Sinne von Art. 3 AsylG glaubhaft gemacht wird und ob der Verbleib am Aufenthaltsort für die Dauer der Sachverhaltsabklärung zugemutet werden kann.</w:t>
      </w:r>
    </w:p>
    <w:p>
      <w:r>
        <w:rPr>
          <w:b/>
        </w:rPr>
        <w:t>E. 6.1</w:t>
      </w:r>
    </w:p>
    <w:p>
      <w:r>
        <w:t>Die Beschwerdeführerin setzt sich in ihrer Beschwerde vom 23. November 2010 nicht explizit mit den ihr von der Vorinstanz vorgehaltenen Unglaubhaftigkeitselementen und dem ihr fehlenden Gefährdungsprofil auseinander, sondern wiederholt in einer Kurzfassung ihre bereits beim Bundesamt gemachten Vorbringen und verweist pauschal auf ihre schwierigen Lebensbedingungen in Sri Lanka (vgl. Sachverhalt Bst. D. hiervor).</w:t>
      </w:r>
    </w:p>
    <w:p>
      <w:r>
        <w:rPr>
          <w:b/>
        </w:rPr>
        <w:t>E. 6.2</w:t>
      </w:r>
    </w:p>
    <w:p>
      <w:r>
        <w:t>Nach Prüfung der Akten gelangt das Bundesverwaltungsgericht zum Schluss, dass das BFM den rechtserheblichen Sachverhalt in ausreichender Weise abgeklärt hat, um einen Entscheid über die Frage einer Gefährdung der Beschwerdeführerin fällen zu können. Was die vom BFM in der angefochtenen Verfügung festgehaltenen Widersprüche im Zusammenhang mit der Entführung und Ermordung ihres Ehemannes betrifft, ist festzuhalten, dass diese die Vorbringen der Beschwerdeführerin nicht zwingend als unglaubhaft erscheinen lassen. Indessen kann die Frage der Glaubhaftigkeit der vorgebrachten Ereignisse letztlich dahingestellt bleiben, da im Ergebnis der Schlussfolgerung der Vorinstanz zuzustimmen ist, wonach die Beschwerdeführerin kein Gefährdungsprofil aufweist, das im aktuellen Zeitpunkt - nach Beendigung des Bürgerkrieges - mit erheblicher Wahrscheinlichkeit eine Verfolgungsgefahr bewirken würde. Die Beschwerdeführerin ist daher nicht auf den Schutz der Schweiz angewiesen. Es kann hierzu auf die als zutreffend erachteten Ausführungen in E. II.2 der angefochtenen Verfügung verwiesen werden.</w:t>
      </w:r>
    </w:p>
    <w:p>
      <w:r>
        <w:rPr>
          <w:b/>
        </w:rPr>
        <w:t>E. 6.3</w:t>
      </w:r>
    </w:p>
    <w:p>
      <w:r>
        <w:t>Gestützt auf die vorstehenden Erwägungen ist somit festzustellen, dass die Beschwerdeführerin keine aktuelle und unmittelbare Gefährdung im Sinne von Art. 3 AsylG darzulegen vermochte. Mithin erhellt, dass das BFM demnach der Beschwerdeführerin die Einreise in die Schweiz zu Recht verweigert beziehungsweise das Asylgesuch abgelehnt hat. Zwar erkennt das Bundesverwaltungsgericht, dass die Situation der Beschwerdeführerin aufgrund der derzeitigen Lage in Sri Lanka generell als schwierig und belastend zu bezeichnen ist. Dieser Umstand betrifft indessen letztlich die Mehrheit der Zivilbevölkerung in Sri Lanka, weshalb die vorinstanzliche Verfügung angesichts der Praxis im Bereich der Auslandverfahren, bei denen sich die Frage von allfälligen Wegweisungsvollzugshindernissen gerade nicht stellt, zu bestätigen ist.</w:t>
      </w:r>
    </w:p>
    <w:p>
      <w:r>
        <w:rPr>
          <w:b/>
        </w:rPr>
        <w:t>E. 7</w:t>
      </w:r>
    </w:p>
    <w:p>
      <w:r>
        <w:t>Zusammenfassend ist festzustellen, dass die Schutzbedürftigkeit der Beschwerdeführerin im Sinne von Art. 20 i.V.m. Art. 3 AsylG als nicht gegeben zu qualifizieren ist und auch keine anderen Gründe die Erteilung der Einreisebewilligung indizieren würden.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von Fr. 600.- an sich der Beschwerdeführerin aufzuerlegen (Art. 63 Abs. 1 VwVG); aus verwaltungsökonomischen Gründen ist indessen in Anwendung von Art. 6 des Reglements vom 21. Februar 2008 über die Kosten und Entschädigungen vor dem Bundesverwaltungsgericht (VGKE, SR 173.320.2) auf das Erheben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