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D-8438/2010 vom 2. März 2011</w:t>
      </w:r>
    </w:p>
    <w:p>
      <w:r>
        <w:t>Bundesverwaltungsgericht, 2011-03-02, DE</w:t>
      </w:r>
    </w:p>
    <w:p>
      <w:r>
        <w:rPr>
          <w:b/>
        </w:rPr>
        <w:t xml:space="preserve">Quelle: </w:t>
      </w:r>
      <w:r>
        <w:t>https://mcp.opencaselaw.ch/entscheid/bvger_D-8438_2010</w:t>
      </w:r>
    </w:p>
    <w:p>
      <w:r>
        <w:t>FR: TAF D-8438/2010 du 2 mars 2011</w:t>
      </w:r>
    </w:p>
    <w:p>
      <w:r>
        <w:t>IT: TAF D-8438/2010 del 2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praxisgemäss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1.3</w:t>
      </w:r>
    </w:p>
    <w:p>
      <w:r>
        <w:t>Die Beschwerde ist demnach - mit Ausnahme des genannten, jedoch als nicht wesentlich erachteten Mangels - frist- und formgerecht ein­ge­reicht (Art. 108 Abs. 1 AsylG, Art. 105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3.2</w:t>
      </w:r>
    </w:p>
    <w:p>
      <w:r>
        <w:t>Vorliegend wurde der Beschwerdeführer von der schweizerischen Ver­tretung in Colombo nicht zu seinen Asylgründen befragt. Er konnte seine Vorbringen indessen bereits in seinem Asylgesuch und in dessen Er­gänzungen schriftlich darlegen und dokumentieren und erhielt danach mit Zwischenverfügung des BFM vom 20. Juli 2010 Gelegenheit zur weiteren Konkretisierung seiner Asylgründe; gleichzeitig wurde ihm auch das rechtliche Gehör im Hinblick auf die in Erwägung gezogene Abweisung des Asylgesuchs gewährt. Nach Ansicht des Bundesverwaltungsgerichts erscheint der entscheidwesentliche Sachverhalt - wie das BFM in seiner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5.Das BFM hat in der angefochtenen Verfügung die Vorbringen des Beschwerdeführers, von Angehörigen unbekannter bewaffneter Gruppen befragt und bedroht worden zu sein, unabhängig von der Frage der Glaubhaftigkeit zu Recht als nicht asylrelevant im Sinne von Art. 3 AsylG erachtet. Zum Einen ist mit der Vorinstanz festzustellen, dass die geltend gemachten Behelligungen mangels erforderlicher Intensität nicht asylrelevant sind. Zum Anderen ergeben sich aus den geltend gemachten Vorbrin­gen keine hinreichend konkreten Anhaltspunkte auf eine begründete Furcht vor künftiger Verfolgung im Sinne von Art. 3 AsylG, wobei vor allem zu berücksichtigen ist, dass die geltend gemachten Behelligungen man­gels entsprechender Kontakte zur LTTE offenbar nicht auf einem begrün­deten Verdacht beruhen, sondern eher zufälliger Natur sind; eine Ein­schätzung, die durch die Tatsache, dass es nach einer Durchsuchung des Beschwerdeführers offenbar nicht zu weiteren Übergriffen gekommen ist, bestätigt wird. An dieser Einschätzung vermag das weitere, nicht näher substantiierte Vorbringen, mehrere Angehörige seiner Familie und der­jenigen seiner Ehefrau seien umgekommen, nichts zu ändern. Im Weiteren belegen die eingereichten Beweismittel lediglich einzelne Angaben des Beschwerdeführers, welche vom BFM nicht in Zweifel gezogen worden sind. Schliesslich ist mit der Vorinstanz darauf hinzuweisen, dass nach der Zerschlagung der LTTE im Mai 2009 Drohungen und Übergriffe im allgemeinen abgenommen haben. Die Beschwerde des Beschwerdefüh­rers, in welcher auf die vorinstanzliche Argumentation in der angefochte­nen Verfügung nicht näher eingegangen wird und die keine weiteren Sach­verhaltselemente enthält, ist nicht geeignet, zu einer anderen Einschät­zung zu gelangen. 6.Somit ist es dem Beschwerdeführer nicht gelungen, eine aktuelle Gefährdung im Sinne von Art. 3 AsylG aufzuzeigen, welche die Bewilligung der Ein­reise in die Schweiz rechtfertigen würde. Die Schutzbedürftigkeit des Beschwerdeführers im Sinne von Art. 20 i.V.m. Art. 3 AsylG ist nicht gegeben. Im Übrigen ist auch eine Beziehungsnähe des Beschwerdeführers zur Schweiz zu verneinen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