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D-8410/2015 vom 27. Juni 2019</w:t>
      </w:r>
    </w:p>
    <w:p>
      <w:r>
        <w:t>Bundesverwaltungsgericht, 2019-06-27, DE</w:t>
      </w:r>
    </w:p>
    <w:p>
      <w:r>
        <w:rPr>
          <w:b/>
        </w:rPr>
        <w:t xml:space="preserve">Quelle: </w:t>
      </w:r>
      <w:r>
        <w:t>https://mcp.opencaselaw.ch/entscheid/bvger_D-8410_2015</w:t>
      </w:r>
    </w:p>
    <w:p>
      <w:r>
        <w:t>FR: TAF D-8410/2015 du 27 juin 2019</w:t>
      </w:r>
    </w:p>
    <w:p>
      <w:r>
        <w:t>IT: TAF D-8410/2015 del 27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die Vorinstanz die geltend gemachten Fluchtgründe als den Anforderungen an die Glaubhaftmachung im Sinne von Art. 7 AsylG nicht genügend. Sie führte aus, der Beschwerdeführer habe sich bei seinen Ausführungen, wie er nach seiner angeblichen Rückkehr im Juli 2014 in der Türkei behandelt worden sei und wie er im Sommer 2015 wieder in die Schweiz gelangt sei, in erhebliche Widersprüche verwickelt. So habe er bei der Kantonspolizei angegeben, er sei bei der Einreise in die Türkei verhaftet und eine Woche lang im Gefängnis gewesen, anlässlich der Anhörung habe er jedoch angegeben, er sei ein bis zwei Stunden festgehalten worden. In diesem Zusammenhang sei es auch realitätsfremd, dass ihm die türkischen Behörden die Ausweise abgenommen hätten. Vielmehr sei anzunehmen, dass er im vorliegenden Verfahren seine Papiere zurückhielte, wie er es bereits im Rahmen seines ersten Asylgesuchs getan habe, wobei damals sein Pass später im Zuge des Verfahrens zwecks Eheschliessung aufgetaucht sei. Sodann habe er zu den Umständen seiner erneuten Flucht anlässlich der Anhörung angegeben, er sei nach seiner Rückkehr aus Kobane mit einem Lastwagen von E._______ nach M._______ und danach drei Tage und Nächte lang in die Schweiz gebracht worden. Im späteren Verlauf der Anhörung habe er angegeben, nach der Rückkehr aus Kobane noch in der Türkei gewesen zu sein, zwei Tage in Edirne und einen Tag lang in M._______. Auf Vorhalt hin habe er dagegen etwas später erklärt, nach der Rückkehr aus Kobane noch einige Wochen bei einem Freund in E._______ geblieben zu sein. Zudem seien auch die Angaben des Reisewegs widersprüchlich ausgefallen. Einmal habe er angegeben, von E._______ nach F._______ gefahren zu sein, wo er einen Lastwagen nach Edirne bestiegen habe und danach in einem anderen Lastwagen direkt von Edirne in die Schweiz gereist zu sein. Auf mehrfachen Vorhalt hin habe er diese Geschichte aber geändert und angegeben, in Slowenien und in Deutschland angehalten zu haben beziehungsweise in Slowenien den Lastwagen gewechselt zu haben. Dass er auf Vorhalt hin angegeben habe, es habe ein Hin und Her gegeben und am Schluss sei er wieder im ersten Fahrzeug gewesen, sei eine Anpassung seiner Vorbringen. Weiter habe er dann plötzlich erklärt, er sei von Deutschland von einem «neuen» Schlepper in die Schweiz gebracht worden. Aufgrund dieser krassen Widersprüche sei davon auszugehen, dass er im Sommer 2014 gar nicht in die Türkei zurückgekehrt sei, sondern weiterhin - wie bereits vor Einreichung seines ersten Asylgesuchs - in einem (...) in G._______ gearbeitet habe, da er auch im Rahmen der Polizeikontrolle vom Juli 2015 in einem Wagen dieses (...) aufgegriffen worden sei. Bezeichnenderweise seien auch seine Ausführungen zum Einsatz in Kobane unsubstanziiert geblieben. Sie enthielten keine Realkennzeichen und erweckten nicht den Eindruck, er sei davon persönlich betroffen gewesen. Seine Angaben, er sei zwischen Januar und April 2015 in Kobane gewesen, seien zudem unglaubhaft, da die Stadt im Februar 2015 befreit worden sei. Ohnehin sei nicht nachvollziehbar, wieso er auf Geheiss seiner Familie nach Kobane habe gehen müssen, da er doch auch sein Elternhaus verlassen und - wie bereits zuvor, als er über Jahre in M._______ gelebt habe - auch woanders problemlos untertauchen hätte können. Es sei insgesamt unglaubhaft, dass er sich im Jahr 2015 dreieinhalb bis vier Monate in Kobane im Einsatz befunden habe und damit sei auch seinen geltend gemachten Befürchtungen, verfolgt zu werden, die Grundlage entzogen. Auch habe er nur vage Ausführungen dazu gemacht, wie der türkische Staat von seinem Einsatz hätte Kenntnis erlangen können, weshalb auch in diesem Punkt seine Furcht vor Verfolgung nicht nachvollziehbar sei.</w:t>
      </w:r>
    </w:p>
    <w:p>
      <w:r>
        <w:rPr>
          <w:b/>
        </w:rPr>
        <w:t>E. 4.2</w:t>
      </w:r>
    </w:p>
    <w:p>
      <w:r>
        <w:t>In der Beschwerde wurde dem entgegengehalten, der Beschwerdeführer hätte keine Möglichkeit gehabt, sich dem Druck seiner Familie in der Türkei zu entziehen und unterzutauchen, da er einem strikten Ehrenkodex unterliege, wobei es Blut- und Ehrensache sei, gegen den Feind zu kämpfen. Wenn er sich dem nicht füge, wäre sein Leben in Gefahr, wobei es die türkische Justiz durch ihre Passivität zulasse, dass deshalb unschuldige Menschen von ihren Familienmitgliedern zu Tode gebracht würden. Auch die Annahme, er hätte in M._______ untertauchen können, weil er dort einmal gelebt habe, fusse auf einer unfundierten Behauptung der Vorinstanz, die diese einfach in der Anhörung (F110) aufgestellt habe. Die Vorinstanz gehe auch fälschlich davon aus, er habe wegen der «Desertion» keine verbotene Strafe oder Behandlung zu befürchten, wohingegen er ja geltend gemacht habe, dass ihm erhebliche Nachteile von Seiten seiner Familie drohten. Da aber die mit der PKK (Arbeiterpartei Kurdistans) verbundene YPG in der Türkei als staatsfeindliche Organisation gelte, habe der Beschwerdeführer als Mitglied der YPG - wie andere Kurden in dieser Situation auch - Folter und die Brutalität des Staates zu befürchten. Unter diesen Umständen erscheine seine Rückkehr in die Türkei unzulässig und unzumutbar. Schliesslich beruhten auch die von der Vorinstanz angeführten Angaben, wonach die Kämpfe in Kobane zwei Monate früher als vom Beschwerdeführer angegeben, geendet hätten, auf blossem Hörensagen von Seiten eines Journalisten und seien nicht hinreichend belegt. Denn wie der Beschwerdeführer in der Anhörung auf Vorhalt hin ausgeführt habe, sei Kobane trotzdem weiterhin beschossen worden. Auch die Annahme der Vorinstanz, er sei im Jahr 2014 nicht von der Schweiz in die Türkei zurückgekehrt, sondern habe weiterhin (...) in G._______ gearbeitet, finde in den Akten keine Grundlage. Dass er zufällig in einem Wagen dieses [Betriebs], in dem er zugegebenermassen zuvor einmal gearbeitet habe, aufgegriffen worden sei, könne ihm nicht mit der Konsequenz vorgehalten werden, er habe die Schweiz nie verlassen. Er habe den Wagen und dessen Insassen zufälligerweise angetroffen, was a priori bei der Grösse von G._______ nicht auszuschliessen sei. Die Aussage des Beschwerdeführers, er sei in Deutschland aufgefordert worden, das Fahrzeug zu wechseln, doch nach einem Hin und Her wieder in das ursprüngliche Fahrzeug beordert worden, möge als Anpassung an den Vorhalt erscheinen, sei jedoch nachvollziehbar, da der Beschwerdeführer vor dem Hintergrund der drohenden Ausschaffung nicht anders gekonnt habe, als zu versuchen, dieses Schicksal von sich abzuwenden. Hinzu komme, dass der Beschwerdeführer aufgrund seiner Erlebnisse unter psychischen Schwierigkeiten leide, die ein Aufmerksamkeitsdefizit und ein eingeschränktes Erinnerungsvermögen zur Folge hätten. Auch die widersprüchlichen Aussagen zu seinem Verbleib in der Türkei nach dem Kampfeinsatz in Kobane seien seinem getrübten Erinnerungsvermögen zuzuordnen. Zudem sei er an der Anhörung unter dem Einfluss von Medikamenten gegen Schlafstörungen gestanden. Anstatt auf die Unglaubhaftigkeit seiner Angaben zu schliessen, hätte die Vorinstanz einen neuen Anhörungstermin ansetzen müssen. Auch der im Rahmen des Ehevorbereitungsverfahrens (im Jahr 2012) sichergestellte Reisepass vom (...) 2010, den der Beschwerdeführer nicht anlässlich seiner damaligen Asylgesuchsstellung vorgelegt habe, sei kein ausreichender Hinweis, dass ihm sein Reisepass nicht bei Wiedereinreise in die Türkei im Jahr 2014 von den türkischen Behörden abgenommen worden sei. In einer Gesamtbeurteilung sei daher auf die Glaubhaftigkeit der Angaben des Beschwerdeführers zu schliessen.</w:t>
      </w:r>
    </w:p>
    <w:p>
      <w:r>
        <w:rPr>
          <w:b/>
        </w:rPr>
        <w:t>E. 5.1</w:t>
      </w:r>
    </w:p>
    <w:p>
      <w:r>
        <w:t>Nach Prüfung der Akten gelangt das Bundesverwaltungsgericht zum Schluss, dass das SEM das Gesuch des Beschwerdeführers im Asylpunkt zu Recht abgelehnt hat. Die Ansicht des SEM, die geschilderte Rückreise in die Türkei vom Sommer 2014 und die erneute Ausreise im Jahr 2015 genüge den Anforderungen an das Glaubhaftmachen nicht, ist nicht zu beanstanden. Um Wiederholungen zu vermeiden, kann auf die zutreffenden Erwägungen in der angefochtenen Verfügung verwiesen werden. Der Beschwerdeführer erklärte in der Beschwerde die vom SEM festgestellten Widersprüche und Ungereimtheiten bezüglich der Rückreise in die Schweiz unter anderem damit, dass seine traumatischen Erlebnisse in Kobane Auswirkungen auf sein Erinnerungsvermögen hätten. Im Arztbericht vom 21. Januar 2016 dokumentierte der Hausarzt eine depressive Grundstimmung, Grübeln, einen pessimistischen und sehr leidenden Eindruck, eine Vermeidung von Reizen, die an das Trauma erinnerten, sowie Einschlaf- und Durchschlafstörungen. Darauf basierend diagnostizierte er eine posttraumatische Belastungsstörung. In der Anhörung machte der Beschwerdeführer befragt nach seinem Gesundheitszustand geltend, er leide an Schlafstörungen und habe Tabletten erhalten, die er jedoch - entgegen der Behauptung in der Beschwerdeschrift - nicht einnehme (B10 F177). Dabei legte er eine Packung Ipalgin 400 (recte: Ibalgin; enthält Ibuprofen) vor, wovon er täglich vier Tabletten nehme (B10 F176). Aus diesem Grund ist nicht davon auszugehen, dass er in der Anhörung wegen der Einnahme eines Medikaments beeinträchtigt gewesen wäre. Bezüglich der vom Hausarzt festgestellten posttraumatischen Belastungsstörung, ist festzuhalten, dass dem Beschwerdeführer grundsätzlich - wie anderen Asylsuchenden mit psychischen Problemen auch - zuzugestehen ist, dass er anlässlich der Anhörung Daten durcheinandergebracht haben könnte oder es vermeidet, über Gräuel zu sprechen. Hingegen ist damit nicht erklärbar, dass er anlässlich der freien Erzählung (B10 F9) vergessen haben soll, dass er nach seiner Rückkehr aus Kobane, wo es ihm sehr schlecht ergangen sei, über Wochen bei einem Freund in der Nähe von E._______ Schutz und Hilfe gefunden habe. Dies verwundert umso mehr, zumal der Beschwerdeführer in dieser Zeit angeblich nicht zu seiner Familie zurückkonnte und auch angenommen habe, er müsse sich vor den staatlichen Behörden verstecken, da diese in Kenntnis seiner Aktivitäten seien (B10 F140). Die im späteren Verlauf der Anhörung nachgereichte Erklärung, wie er sich wochenlang einer von ihm befürchteten Verfolgung entziehen habe können, erweckt den Eindruck eines blossen Erzählkonstrukts. Im Weiteren ist auch unter Berücksichtigung seiner gesundheitlichen Probleme die von der Vorinstanz erwogene Unglaubhaftigkeit seiner Angaben zur zuvor im Juli 2014 erfolgten Einreise in die Türkei und zur Passabnahme am Flughafen nicht zu beanstanden. Auf Beschwerdeebene gelangte sodann sein vom Zivilstandsamt im Rahmen eines Ehevorbereitungsverfahren sichergestellter Pass mit Ausstellungsdatum (...) 2013 zu den Akten, was den Angaben des Beschwerdeführers, ihm sei bei der Einreise der Pass abgenommen worden und er habe keine Ausweispapiere, diametral entgegensteht. Die im Pass enthaltenen Sichtvermerke belegen zudem lediglich einen einwöchigen Kurzaufenthalt vom (...) 2013 in der Türkei. Es ist auch unglaubhaft, dass ihm die türkischen Behörden bei der Wiedereinreise aufgrund seiner Herkunft Probleme bereitet und ihn als Terrorist betrachtet hätten, wo sie ihm doch zuvor behilflich waren und offenbar anstandslos einen Reisepass ausgestellt haben. Es ist sehr unwahrscheinlich, dass die türkischen Behörden einer Person, der sie Verbindungen zur PKK unterstellten, solche Dienstleistungen zukommen lassen würden. Sodann ist mit der Vorinstanz festzustellen, dass der Beschwerdeführer die Umstände, welche ihn nach Kobane geführt hätten, und die Vorfälle lediglich in rudimentärer Weise wiedergegeben hat und seine diesbezüglichen Aussagen den Eindruck, er habe dies tatsächlich erlebt, vermissen lassen (vgl. B10 F9, F101, F115 - 117). Hier ist nochmals zu betonen, dass es nicht um die Schilderung von Kriegsgräueln geht, sondern um die Glaubhaftmachung des Reisewegs und alltäglicher Begebenheiten sowie Begegnungen, die er trotz Nachfragen nicht substanziieren konnte. Dies betrifft auch den geltend gemachten familiären Druck, nach Kobane zu gehen (B10 F9 und F93). Der Beschwerdeführer brachte vor, dieser gehe von seinem Onkel aus, der das Sagen habe, beziehungsweise habe er nach sechs Monaten Aufenthalt bei seiner Familie mit seinem Bruder Streit gehabt, der ihm gesagt habe, er wolle ihn nicht mehr im Dorf haben. Darüber hinaus hat er die in der Beschwerde geltend gemachte Drohung, seine Familie wolle ihn umbringen, denn wenn er nicht zur YPG gehe, gelte er als ein Verräter, in der Anhörung nicht erwähnt. Das Vorbringen, er fürchte wegen seiner Familie um sein Leben, ist als nachgeschoben zu qualifizieren und die vom Beschwerdeführer behaupteten Umstände, welche letztlich fluchtauslösend gewesen sein sollten, wirken in ihrer Gesamtheit als konstruiert.</w:t>
      </w:r>
    </w:p>
    <w:p>
      <w:r>
        <w:rPr>
          <w:b/>
        </w:rPr>
        <w:t>E. 5.2</w:t>
      </w:r>
    </w:p>
    <w:p>
      <w:r>
        <w:t>Zusammenfassend ist festzustellen, dass es dem Beschwerdeführer nicht gelungen ist, eine im Sinne von Art. 3 AsylG relevante Verfolgungsgefahr nachzuweisen oder glaubhaft darzutun. Die Ausführungen auf Beschwerdeebene und die zu deren Stützung eingereichten Beweismittel sind nicht geeignet, zu einer anderen Beurteilung zu gelangen. Die Vorinstanz hat daher zu Recht seine Flüchtlingseigenschaft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w:t>
      </w:r>
    </w:p>
    <w:p>
      <w:r>
        <w:rPr>
          <w:b/>
        </w:rPr>
        <w:t>E. 6.2.1</w:t>
      </w:r>
    </w:p>
    <w:p>
      <w:r>
        <w:t>In der Stellungnahme vom 2. Oktober 2017 machte der Beschwerdeführer zwar geltend, er lebe mit seiner Verlobten (H._______, (...) Staatsangehörige mit einer Niederlassungsbewilligung C) und ihrer gemeinsamen Tochter I._______ in D._______ zusammen. Gemäss den Akten hat der Beschwerdeführer die Vaterschaft anerkannt. Folglich ist vorfrageweise zu prüfen, ob der Beschwerdeführer gestützt auf Art. 8 EMRK wegen der Verlobten und seinem Kind einen Anspruch auf Aufenthalt in der Schweiz ableiten kann. Gemäss ständiger bundesgerichtlicher Rechtsprechung kann sich jemand nur dann auf den Schutz des Familienlebens nach Art. 8 EMRK berufen, wenn eine nahe, echte und tatsächlich gelebte familiäre Beziehung vorliegt. Diesbezüglich sind als wesentliche Faktoren das gemeinsame Wohnen respektive der gemeinsame Haushalt, die finanzielle Verflochtenheit, die Länge und Stabilität der Beziehung sowie das Interesse und die Bindung der Partner aneinander zu berücksichtigen (vgl. Christoph Grabenwarter/Katharina Pabel, Europäische Menschenrechtskonvention, 6. Aufl., München/Basel/Wien 2016, S. 204; Mark E. Villiger, Handbuch der Europäischen Menschenrechtskonvention, 2. Aufl., Zürich 1999, S. 365).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Niederlassungsbewilligung oder einer Aufenthaltsbewilligung, auf deren Verlängerung ein Anspruch besteht (vgl. statt vieler BGE 135 I 143; 130 II 281, je m.w.H.).</w:t>
      </w:r>
    </w:p>
    <w:p>
      <w:r>
        <w:rPr>
          <w:b/>
        </w:rPr>
        <w:t>E. 6.2.2</w:t>
      </w:r>
    </w:p>
    <w:p>
      <w:r>
        <w:t>Die Mutter des Kindes I._______ und angebliche Lebenspartnerin des Beschwerdeführers ist (...) Staatsangehörige und verfügt gemäss Eintrag im ZEMIS über eine C-Bewilligung (vgl. Art. 34 AIG). Sie und die Tochter sind somit hier gefestigt anwesenheitsberechtigte Personen im Sinne der Rechtsprechung.</w:t>
      </w:r>
    </w:p>
    <w:p>
      <w:r>
        <w:rPr>
          <w:b/>
        </w:rPr>
        <w:t>E. 6.2.3</w:t>
      </w:r>
    </w:p>
    <w:p>
      <w:r>
        <w:t>Allerdings obliegt es dem Beschwerdeführer, das Bestehen einer hinreichend engen, tatsächlich gelebten und intakten Beziehung glaubhaft zu machen. Dies muss insbesondere gelten, wenn es sich wie vorliegend um eine vorfrageweise Prüfung handelt. Entsprechend wurde der Beschwerdeführer mit Verfügung vom 15. September 2017 aufgefordert, über das Familienleben Auskunft zu geben. Der Beschwerdeführer verwies in der Stellungnahme vom 2. Oktober 2017 zum Beleg einer entsprechenden Beziehung darauf, einen Kantonswechsel anzustreben, unterliess es jedoch, einen entsprechenden Nachweis zu den Akten zu reichen. Er wies lediglich darauf hin, dass er mit der Kindsmutter an deren Wohnadresse zusammenlebe und ein Kantonswechselgesuch einreichen wolle, was für den Beleg einer intakten Beziehung jedoch nicht ausreicht. Zu einem Kantonswechsel ist es denn offenbar auch nicht gekommen, jedenfalls reichte er seither beim Gericht keine entsprechenden Belege ein und seine aktuelle Adresse ist gemäss Eintrag im ZEMIS nach wie vor in J._______. Die Angaben zu seinem Verhältnis zur Tochter, erschöpften sich sodann in der Eingabe vom 2. Oktober 2017 in der pauschalen Behauptung, dass er so viel Zeit wie möglich mit seiner Tochter verbringe. Angesichts der unsubstanziierteren Angaben und fehlenden Belege gelingt es dem Beschwerdeführer nicht, eine hinreichend enge, tatsächlich gelebte und intakte Beziehung zu der Kindesmutter beziehungsweise seiner Tochter glaubhaft zu machen. All dies lässt vielmehr auf ein mangelndes Interesse seinerseits an einem Kantonswechsel respektive an einem gemeinsamen Haushalt mit der Kindesmutter und der Tochter schliessen. Schliesslich wurde in der Eingabe vom 2. Oktober 2017 auch ausgeführt, das Ehevorbereitungsverfahren beim Zivilstandsamt C._______ sei eingestellt worden, was ebenfalls gegen eine intakte Beziehung spricht.</w:t>
      </w:r>
    </w:p>
    <w:p>
      <w:r>
        <w:rPr>
          <w:b/>
        </w:rPr>
        <w:t>E. 6.2.4</w:t>
      </w:r>
    </w:p>
    <w:p>
      <w:r>
        <w:t>Nach dem Gesagten ergeben sich aus den Akten nicht genügend Hinweise darauf, dass sich der Beschwerdeführer auf einen Anspruch auf Aufenthalt gemäss Art. 8 EMRK berufen kann (vgl. BGE 122 II 1 E. 1.e).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Soweit geltend gemacht wurde, dem Beschwerdeführer drohe wegen seiner Asylgründe bei einer Rückkehr in die Türkei Folter oder unmenschliche Behandlung, kann auf die vorstehenden Erwägungen im Zusammenhang mit der Flüchtlingseigenschaft respektive deren Verneinung verwiesen werden. Dieselben Gründe lassen darauf schliessen, dass ihm bei einer Rückkehr kein ernsthaftes Risiko einer unmenschlichen Behandlung droht. Auch sonst ergeben sich keine Anhaltspunkte dafür, dass er für den Fall einer Rückkehr in die Türkei dort mit beachtlicher Wahrscheinlichkeit einer nach Art. 3 EMRK oder Art. 1 FoK verbotenen Strafe oder Behandlung ausgesetzt wäre.</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der Türkei herrscht keine landesweite Situation allgemeiner Gewalt. Trotz Berücksichtigung des Wiederaufflammens des türkisch-kurdischen Konfliktes sowie der bewaffneten Auseinandersetzungen zwischen der Kurdischen Arbeiterpartei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vom 15./16. Juli 2016 ist gemäss konstanter Praxis nicht von einer Situation allgemeiner Gewalt oder bürgerkriegsähnlichen Verhältnissen - auch nicht für Angehörige der kurdischen Ethnie - auszugehen (vgl. Urteile des BVGer E-3040/2017 vom 28. Juli 2017 E. 6.2.2 und E-5777/2017 vom 9. November 2017 E. 8.2.1). Der Vollzug der Wegweisung ist insoweit zumutbar. Zudem liegen auch keine individuellen Gründe vor, die gegen einen Wegweisungsvollzug sprechen würden. Der Beschwerdeführer ist (...) Jahre alt und stammt aus dem Dorf K._______, Provinz F._______, wo er (...) Jahre lang gelebt hat (A16, S.4). Nach 2007 bis zu seiner Ausreise hat er in M._______ gearbeitet und gewohnt (A16, S.4). Er hat Berufserfahrung, unter anderem als (...) und in (...) (A16, S.3). Seine Familie lebt nach wie vor im Dorf und zwei seiner Brüder sind in L._______ (B10 F173). Auch war er trotz seiner geltend gemachten Erkrankung (PTBS) weiterhin in der Schweiz erwerbstätig, unter anderem für (...) (vgl. Beilage zur Verfügung vom 19. Juni 2018; Ende der Pflicht zur Sonderabgabe). Nach dem Gesagten kann von seiner wirtschaftlichen Wiedereingliederungsfähigkeit bei seiner Rückkehr und von einem tragfähigen Beziehungsnetz, welches ihn in seiner Heimat unterstützen kann, ausgegangen werden. Im Zusammenhang mit den geltend gemachten gesundheitlichen Problemen des Beschwerdeführers kann festgehalten werden, dass eine medizinische Notlage gemäss Praxis nur dann vorliegt, wenn für die betroffene Person bei einer Rückkehr in ihre Heimat eine wesentliche medizinische Behandlung nicht erhältlich wäre und dies eine existenzielle Gefährdung zur Folge hätte. Es reicht jedenfalls nicht aus, wenn im Heimat- oder Herkunftsstaat keine dem schweizerischen Standard entsprechende medizinische Behandlung möglich ist (vgl. BVGE 2009/2 E. 9.3.2 S.21 mit weiteren Hinweisen). Der Beschwerdeführer machte psychische Probleme (PTBS) und Schlafstörungen geltend. Aus dem Attest seines Hausarztes vom 21. Januar 2016 geht hervor, dass er an einer depressiven Grundstimmung, Grübeln, Gefühlsabstumpfung und Vermeidungsverhalten, unausweichlichen Erinnerungen im Zusammenhang mit einer posttraumatischen Belastungsstörung, Appetitlosigkeit und Ein- und Durchschlafstörungen leide. In der Anhörung gab der Beschwerdeführer an, dass er Schlaftabletten erhalten habe, die er nicht einnehme. Die Erkrankung des Beschwerdeführers lässt nach dem Gesagten nicht auf eine konkrete Gefährdung bei einer Rückkehr aufgrund einer medizinischen Notlage schliessen. Damit erweist sich der Vollzug der Wegweisung auch in dieser Hinsicht als zumutbar.</w:t>
      </w:r>
    </w:p>
    <w:p>
      <w:r>
        <w:rPr>
          <w:b/>
        </w:rPr>
        <w:t>E. 7.5</w:t>
      </w:r>
    </w:p>
    <w:p>
      <w:r>
        <w:t>Schliesslich verfügt der Beschwerdeführer über einen gültigen Reisepass und damit über die für eine Rückkehr notwendigen Reisedokumente,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bereits erhobene Kostenvorschuss wird für die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