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D-840/2017 vom 13. Februar 2017</w:t>
      </w:r>
    </w:p>
    <w:p>
      <w:r>
        <w:t>Bundesverwaltungsgericht, 2017-02-13, DE</w:t>
      </w:r>
    </w:p>
    <w:p>
      <w:r>
        <w:rPr>
          <w:b/>
        </w:rPr>
        <w:t xml:space="preserve">Quelle: </w:t>
      </w:r>
      <w:r>
        <w:t>https://mcp.opencaselaw.ch/entscheid/bvger_D-840_2017</w:t>
      </w:r>
    </w:p>
    <w:p>
      <w:r>
        <w:t>FR: TAF D-840/2017 du 13 février 2017</w:t>
      </w:r>
    </w:p>
    <w:p>
      <w:r>
        <w:t>IT: TAF D-840/2017 del 13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unter Vorbehalt der Erwägungen 5 -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Gestützt auf Art. 111a Abs. 1 AsylG wurde vorliegend auf einen Schriftenwechsel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Prozessgegenstand bei einem Wiedererwägungsgesuch hinsichtlich eines gestützt auf Art. 31a Abs. 1 Bst. b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oder hinsichtlich der Völkerrechtskonformität einer Wegweisung dorthin ergeben haben, oder ob seither humanitäre Gründe im Sinne von Art. 29a Abs. 3 der Asylverordnung 1 vom 11. August 1999 über Verfahrensfragen (AsylV 1, SR 142.311) eingetreten sind.</w:t>
      </w:r>
    </w:p>
    <w:p>
      <w:r>
        <w:rPr>
          <w:b/>
        </w:rPr>
        <w:t>E. 5</w:t>
      </w:r>
    </w:p>
    <w:p>
      <w:r>
        <w:t>Über die Frage, ob die Beschwerdeführerin mit ihrem Ehemann eine dauerhafte Beziehung führt und sich aus diesem Grund auf Art. 8 EMRK berufen kann, wurde im unangefochtenen Nichteintretensentscheid des SEM vom 24. November 2016 bereits rechtskräftig befunden. Aus demselben Grund wird vorliegend nicht geprüft, ob die dem Ehemann der Beschwerdeführerin gewährte vorläufige Aufnahme als gefestigtes Aufenthaltsrecht gilt, welches zur Berufung auf Art. 8 EMRK berechtigt. Ebenfalls nicht zu prüfen ist daher, ob die Vorinstanz im Hinblick auf die Anwendung von Art. 8 EMRK und Art. 9 Dublin-III-VO die Rechtsgültigkeit der Eheschliessung vertiefter hätte prüfen sowie weitere Abklärungen hätte tätigen müssen und ob die Beschwerdeführerin genügend Gelegenheit hatte, die Umstände ihrer Beziehung zu ihrem Ehemann darzulegen. Auf die entsprechenden Rügen ist folglich nicht einzutreten.</w:t>
      </w:r>
    </w:p>
    <w:p>
      <w:r>
        <w:rPr>
          <w:b/>
        </w:rPr>
        <w:t>E. 6.1</w:t>
      </w:r>
    </w:p>
    <w:p>
      <w:r>
        <w:t>Gegenstand des vorliegenden Beschwerdeverfahrens ist somit einzig die Frage, ob die Schwangerschaft der Beschwerdeführerin allfällige Rücküberstellungshindernisse zu begründen vermag und das Asylverfahren aufgrund solcher Hindernisse in der Schweiz durchzuführen ist oder ob sie aus einem andern Grund an der staatsvertraglichen Zuständigkeit Rumäniens etwas ändert.</w:t>
      </w:r>
    </w:p>
    <w:p>
      <w:r>
        <w:rPr>
          <w:b/>
        </w:rPr>
        <w:t>E. 6.2</w:t>
      </w:r>
    </w:p>
    <w:p>
      <w:r>
        <w:t>Art. 8 EMRK garantiert das Recht auf Achtung des Privat- und Familienlebens. Für die Inanspruchnahme der Garantie von Art. 8 EMRK ist das Bestehen einer Familie Voraussetzung. Als wesentliche Faktoren für eine tatsächlich gelebte Beziehung gelten das gemeinsame Wohnen respektive der gemeinsame Haushalt, die finanzielle Verflochtenheit, die Länge und Stabilität der Beziehung sowie das Interesse und die Bindung der Partner aneinander (vgl. BVGE 2012/4 E. 3.3.3). Wie das SEM zutreffend ausgeführt hat, kann sich die Beschwerdeführerin nicht auf Art. 8 EMRK berufen mit der Begründung, mit der neu eingetretenen Schwangerschaft sei ihr Familienleben nun endgültig belegt. Die Schwangerschaft vermag keine veränderte Sachlage zu begründen, die eine von der bisherigen Beurteilung abweichende Würdigung der Zuständigkeit für die Durchführbarkeit des Asyl- und Wegweisungsverfahrens zulassen würde und genügt nicht, das Vorliegen einer gefestigten Lebensgemeinschaft darzulegen. Das SEM hat daher zu Recht festgestellt, dass dieses Vorbringen nicht zur Wiedererwägung des Nichteintretens-Entscheides vom 24. November 2016 führt. Unter diesen Umständen liegt keine Verletzung von Art. 8 EMRK vor, wenn die Beschwerdeführerin nach Rumänien zurückgewiesen wird.</w:t>
      </w:r>
    </w:p>
    <w:p>
      <w:r>
        <w:rPr>
          <w:b/>
        </w:rPr>
        <w:t>E. 6.3</w:t>
      </w:r>
    </w:p>
    <w:p>
      <w:r>
        <w:t>Das Verfahren zur Bestimmung des zuständigen Mitgliedstaates wird eingeleitet, sobald in einem Mitgliedstaat erstmals ein Asylantrag gestellt wird (Art. 20 Abs. 1 Dublin-III-VO). Im Fall eines sogenannten Aufnahmeverfahrens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Filzwieser/Sprung, Dublin III-Verordnung, Wien 2014, K4 zu Art. 7). Im Rahmen eines Wiederaufnahmeverfahrens, wie vorliegend, findet demgegenüber grundsätzlich keine erneute Zuständigkeitsprüfung nach Kapitel III Dublin-III-VO statt (vgl. BVGE 2012/4 E. 3.2.1 m.w.H.). Eine solche Prüfung kann im Wiederaufnahmeverfahren lediglich durch das Vorliegen von Tatsachen, welche neu eine Zuständigkeit des am Aufnahmeverfahren beteiligten Mitgliedsstaates zu begründen vermögen (vorliegend Rumänien), erfolgen. Im Wiederaufnahmeverfahren können solche Tatsachen dagegen die Zuständigkeit des prüfenden Staates nicht begründen. Die von der Beschwerdeführerin geltend gemachte Schwangerschaft vermag folglich auch in Anwendung von Art. 9 Dublin-III-VO an der Zuständigkeit Rumäniens nichts ändern, da die Bestimmung im Wiedererwägungsverfahren nicht anwendbar ist.</w:t>
      </w:r>
    </w:p>
    <w:p>
      <w:r>
        <w:rPr>
          <w:b/>
        </w:rPr>
        <w:t>E. 7.1</w:t>
      </w:r>
    </w:p>
    <w:p>
      <w:r>
        <w:t>Gemäss ständiger Praxis findet in Dublin-Verfahren nach Bestätigung des Nichteintretensentscheides keine anschliessende gesonderte Prüfung von Wegweisungsvollzugshindernissen statt, da allfällige Gründe für eine Unzulässigkeit oder Unzumutbarkeit des Wegweisungsvolllzugs bereits bei der Prüfung der Dublin-Kriterien zu berücksichtigen wären (vgl. BVGE 2010/45 E. 10).</w:t>
      </w:r>
    </w:p>
    <w:p>
      <w:r>
        <w:rPr>
          <w:b/>
        </w:rPr>
        <w:t>E. 7.2</w:t>
      </w:r>
    </w:p>
    <w:p>
      <w:r>
        <w:t>Das sogenannte Selbsteintrittsrecht nach Art. 17 Abs. 1 Satz 1 Dublin-III-VO wird im Landesrecht durch Art. 29a Abs. 3 AsylV 1 konkretisiert. Das SEM kann das Asylgesuch gemäss dieser Bestimmung "aus humanitären Gründen" auch dann behandeln, wenn dafür gemäss Dublin-III-VO ein anderer Staat zuständig wäre. Die Beschwerdeführerin macht nicht geltend, aufgrund ihrer Schwangerschaft oder damit verbundener gesundheitlicher Probleme sei ihr die Rücküberstellung nach Rumänien angesichts der dortigen Aufnahmebedingungen oder mangels Reisefähigkeit nicht zuzumuten. Daher erübrigen sich weitere Ausführungen zu einem allfälligen Selbsteintritt.</w:t>
      </w:r>
    </w:p>
    <w:p>
      <w:r>
        <w:rPr>
          <w:b/>
        </w:rPr>
        <w:t>E. 8</w:t>
      </w:r>
    </w:p>
    <w:p>
      <w:r>
        <w:t>Aus diesen Erwägungen ergibt sich, dass die Beschwerde abzuweisen ist und die Verfügung des SEM vom 24. November 2016 in Rechtskraft bestehen bleibt.</w:t>
      </w:r>
    </w:p>
    <w:p>
      <w:r>
        <w:rPr>
          <w:b/>
        </w:rPr>
        <w:t>E. 9</w:t>
      </w:r>
    </w:p>
    <w:p>
      <w:r>
        <w:t>Das Beschwerdeverfahren ist mit vorliegendem Urteil abgeschlossen, weshalb sich die Anträge auf Gewährung der aufschiebenden Wirkung, auf sofortige Aussetzung des Vollzugs sowie auf Erlass des Kostenvorschusses als gegenstandslos erweisen.</w:t>
      </w:r>
    </w:p>
    <w:p>
      <w:r>
        <w:rPr>
          <w:b/>
        </w:rPr>
        <w:t>E. 10</w:t>
      </w:r>
    </w:p>
    <w:p>
      <w:r>
        <w:t>Die Gesuche um unentgeltliche Rechtspflege gemäss Art. 65 Abs. 1 VwVG sowie um Beigabe eines Anwalts gemäss Art. 65 Abs. 2 VwVG sind abzuweisen, da sich die Begehren den vorstehenden Erwägungen zufolge als aussichtslos erweisen.</w:t>
      </w:r>
    </w:p>
    <w:p>
      <w:r>
        <w:rPr>
          <w:b/>
        </w:rPr>
        <w:t>E. 11</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