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D-838/2021 vom 16. August 2022</w:t>
      </w:r>
    </w:p>
    <w:p>
      <w:r>
        <w:t>Bundesverwaltungsgericht, 2022-08-16, DE</w:t>
      </w:r>
    </w:p>
    <w:p>
      <w:r>
        <w:rPr>
          <w:b/>
        </w:rPr>
        <w:t xml:space="preserve">Quelle: </w:t>
      </w:r>
      <w:r>
        <w:t>https://mcp.opencaselaw.ch/entscheid/bvger_D-838_2021</w:t>
      </w:r>
    </w:p>
    <w:p>
      <w:r>
        <w:t>FR: TAF D-838/2021 du 16 août 2022</w:t>
      </w:r>
    </w:p>
    <w:p>
      <w:r>
        <w:t>IT: TAF D-838/2021 del 16 agosto 2022</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D-838/2021 Seite 4</w:t>
      </w:r>
    </w:p>
    <w:p>
      <w:r>
        <w:rPr>
          <w:b/>
        </w:rPr>
        <w:t>E. 4.1</w:t>
      </w:r>
    </w:p>
    <w:p>
      <w:r>
        <w:t>In der Beschwerde werden verschiedene formelle Rügen erhoben, wel- che vorab zu beurteilen sind, da sie gegebenenfalls geeignet sind, die Kas- sation der vorinstanzlichen Verfügung zu bewirken. So rügt der Beschwer- deführer eine Verletzung seines Anspruchs auf Akteneinsicht und der Be- gründungspflicht, womit sein Anspruch auf rechtliches Gehör schwerwie- gend verletzt sei. Zudem sei die Vorinstanz ihrer Pflicht zur vollständigen und richtigen Abklärung des rechtserheblichen Sachverhalts nicht nachge- kommen.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w:t>
      </w:r>
    </w:p>
    <w:p>
      <w:r>
        <w:rPr>
          <w:b/>
        </w:rPr>
        <w:t>E. 4.2.2</w:t>
      </w:r>
    </w:p>
    <w:p>
      <w:r>
        <w:t>Der verfahrensrechtliche Anspruch auf Akteneinsicht (Art. 26 VwVG) bildet einen Teilgehalt des in Art. 29 Abs. 2 BV verankerten Anspruchs auf rechtliches Gehör, welcher in den Art. 29 ff. VwVG konkretisiert wird. So können sich die Betroffenen in einem Verfahren nur dann wirksam zur Sa- 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w:t>
      </w:r>
    </w:p>
    <w:p>
      <w:r>
        <w:t>D-838/2021 Seite 5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Der Beschwerdeführer rügt zunächst, die Vorinstanz habe sein Recht auf Akteneinsicht verletzt, indem sie ihm weder die Akte 12/1 noch die Akte 26/1 eröffnet habe. In diesem Zusammenhang habe sie ihm denn auch nicht bekanntgegeben, welchen seiner zu den Akten gereichten Ausweise sie einer Dokumentenprüfung unterzogen habe, womit sie auch die Akten- führungspflicht schwerwiegend verletzt habe. Betreffend die Rüge einer Verletzung des Akteneinsichtsrechts und mithin des Anspruchs auf rechtliches Gehör im Zusammenhang mit der von der Vorinstanz als «interne Akte» qualifizierten Akte A12/1 (Bericht Identitäts-</w:t>
      </w:r>
    </w:p>
    <w:p>
      <w:r>
        <w:t>D-838/2021 Seite 6 abklärung) ist festzuhalten, dass einer Abklärung zur Identität durchaus Be- weischarakter zukommt. Das SEM qualifizierte das Dokument somit zu Un- recht als «interne Akte». Die Identität des Beschwerdeführers ist jedoch unstrittig. Demnach erübrigt es sich ihm dazu das rechtliche Gehör zu ge- währen (vgl. Urteil des BVGer D-1200/2020 E. 4.4.5). Gleiches gilt für die Akte 26/1 (Nachtrag Ausweisprüfung). Zwar kann der Inhalt und mitunter gar das Ergebnis einer durchgeführten Dokumentenprüfung im Einzelfall internen und/oder geheimhaltungswürdigen Charakter haben, nicht zuletzt um die Verbreitung von Missbräuchen (z.B. Fälschungsanleitungen) zu vermeiden, und die Einsicht kann dementsprechend eingeschränkt oder gar verweigert werden (vgl. Urteil des BVGer E-1476/2021 vom 25. August 2021 E. 6.2.2). Am grundsätzlichen Recht auf Einsicht in diese Akte ändert sich aber nichts, denn es spricht offensichtlich nichts dagegen, dass der Beschwerdeführer nicht bloss über die Vornahme einer Dokumentenprü- fung durch das SEM, sondern darüber hinaus zumindest über das geprüfte Dokument und das Prüfungsergebnis in Kenntnis gesetzt würde. Ein inter- ner Charakter oder gar Geheimhaltungsgründe sind insoweit nicht erkenn- bar, geht doch aus der betreffenden Akte lediglich hervor, dass die Erstprü- fung des Wehrpasses unauffällig sei. Nach dem Gesagten hat die Vor- instanz zwar auch die Akte 26/1 zu Unrecht als «interne Akte» qualifiziert, doch hat sie in der angefochtenen Verfügung auch diesbezüglich nicht zum Nachteil des Beschwerdeführers darauf abgestellt – sie weist lediglich in allgemeiner Form auf den rechtsprechungsgemäss geringen Beweiswert von syrischen Wehrpässen hin (vgl. A28/6 S. 4) – und somit auch in diesem Zusammenhang kein Recht zur Stellungnahme ausgelöst (vgl. Art. 28 VwVG). Zusammenfassend anerkennt das Bundesverwaltungsgericht im vorlie- genden Fall zwar eine Verletzung des Akteneinsichtsrechts, sie wiegt aber nicht schwer, stellt keine Gehörsverletzung dar und kann damit keine Kas- sation auslösen. Dem Beschwerdeführer sind indes die vorinstanzlichen Akten 12/1 und 26/1 mit dem vorliegenden Urteil zu eröffnen. Ein Anlass zur Fristansetzung zur Beschwerdeergänzung besteht nach dem Gesag- ten nicht.</w:t>
      </w:r>
    </w:p>
    <w:p>
      <w:r>
        <w:rPr>
          <w:b/>
        </w:rPr>
        <w:t>E. 4.3.2</w:t>
      </w:r>
    </w:p>
    <w:p>
      <w:r>
        <w:t>Unbegründet ist sodann die Rüge in der Beschwerdeschrift, die Vor- instanz habe es unterlassen, sämtliche Vorbringen des Beschwerdeführers zu prüfen sowie sich mit der jüngsten Praxis zur illegalen Ausreise aus Sy- rien und den Entwicklungen in «F._______» auseinanderzusetzen. In die- sem Zusammenhang sei gemäss dem Beschwerdeführer auf die von der Vorinstanz in einem anderen Verfahren zitierte Notiz von G._______ vom</w:t>
      </w:r>
    </w:p>
    <w:p>
      <w:r>
        <w:t>D-838/2021 Seite 7 20. Juni 2019 zu verweisen, die Fragen aufwerfe, die die angefochtene Verfügung nicht beantworte. In den Akten finden sich keinerlei Hinweise, dass die Vorinstanz die Vor- bringen des Beschwerdeführers nicht sorgfältig und ernsthaft geprüft und in der Entscheidfindung berücksichtigt hätte. So hat sie denn nachvollzieh- bar und hinreichend differenziert aufgezeigt, dass sie sich mit sämtlichen zentralen Vorbringen des Beschwerdeführers und den eingereichten Be- weismitteln auseinandergesetzt hat. Ebenso hat sie in der angefochtenen Verfügung die Lage in den kurdischen Gebieten Nordsyriens berücksichtigt und sich mit der geltend gemachten Verhaftung des Vaters des Beschwer- deführers befasst (vgl. A28/6 S. 3). Auch die Rüge, das SEM habe veral- tete Quellen verwendet und die im Dokument vom 20. Juni 2019 von G._______ aufgeworfenen Fragen nicht abgeklärt, vermag nicht zu über- zeugen. Inwiefern die von der Vorinstanz zitierten Quellen respektive Ur- teile des Bundesverwaltungsgerichts (aus den Jahren 2017 bis 2020) ver- altet sein sollen, wird in der Beschwerdeschrift nicht dargetan. Darüber hin- aus wird in der Rechtsmitteleingabe denn selbst auf einen Bericht aus dem Jahr 2017 verwiesen, welcher noch «aktuell» sei (vgl. Beschwerde S. 14, Ziff. 47). Auf die die Notiz von G._______ betreffenden Vorbringen ist denn nicht weiter einzugehen, geht doch aus den Akten hervor, dass sich die Vorinstanz im vorliegenden Verfahren gar nicht auf dieses Dokument stützt. Der blosse Umstand, dass der Beschwerdeführer die Beurteilung durch die Vorinstanz nicht teilt, stellt keine Gehörsverletzung dar, sondern beschlägt die Frage der materiellen Würdigung.</w:t>
      </w:r>
    </w:p>
    <w:p>
      <w:r>
        <w:rPr>
          <w:b/>
        </w:rPr>
        <w:t>E. 4.3.3</w:t>
      </w:r>
    </w:p>
    <w:p>
      <w:r>
        <w:t>Auch der unsubstantiierte Vorwurf, einer mangelhaft durchgeführten Anhörung und damit einer Verletzung der Abklärungspflicht ist nicht ge- rechtfertigt, bestehen doch aufgrund der Akten keine ernsthaften Zweifel an der Verwertbarkeit der protokollierten Aussagen des Beschwerdefüh- rers. Es ist davon auszugehen, dass, hätte es – wie dies in der Beschwer- deschrift geltend gemacht wird – durch das Tragen einer Schutzmaske tat- sächlich Verständigungsschwierigkeiten gegeben, der Beschwerdeführer dies in jenen Momenten vorgebracht hätte. Während der Anhörung machte er – bis auf den einmaligen Hinweis, aufgrund des Dialektes habe er eine Frage «nicht ganz gut» verstanden (vgl. A18/19 F50) – keinerlei Kommu- nikationsprobleme geltend und brachte keine Kritik an der Übersetzung an. Stattdessen gab er wiederholt zu Protokoll, die dolmetschende Person «gut» zu verstehen (vgl. A18/19 F1, F150). Die Richtigkeit und Vollständig- keit des Protokolls bestätigte er sodann auch anlässlich der Rücküberset-</w:t>
      </w:r>
    </w:p>
    <w:p>
      <w:r>
        <w:t>D-838/2021 Seite 8 zung unterschriftlich und brachte lediglich eine (vernachlässigbare) Korrek- tur an (vgl. A18/19 F133). Dass er die Rückübersetzung des Protokolls nicht auf jeder Seite unterschriftlich bestätigte, ist entgegen der Beschwer- deschrift auch nicht weiter zu beanstanden, zumal er mit der Unterzeich- nung der letzten Seite des Protokolls ausdrücklich erklärte, dass ihm die Befragung «Satz für Satz» – und demnach jede Seite – rückübersetzt wor- den war (vgl. A18/19 S. 17).</w:t>
      </w:r>
    </w:p>
    <w:p>
      <w:r>
        <w:rPr>
          <w:b/>
        </w:rPr>
        <w:t>E. 4.3.4</w:t>
      </w:r>
    </w:p>
    <w:p>
      <w:r>
        <w:t>Ebenfalls ins Leere geht die Argumentation, es sei nicht nachvollzieh- bar, ob und inwieweit die Vorinstanz das Dossier von H._______ (N […]) – dem Bruder des Beschwerdeführers – beigezogen habe. Zwar trifft es zu, dass sich in den vorinstanzlichen Akten keine Notiz zur Konsultation der Asylakten des in der Schweiz vorläufig aufgenommenen Bruders des Beschwerdeführers findet. In der angefochtenen Verfügung wird jedoch festgehalten, dass die vorgenannten Akten konsultiert worden seien und diesen nichts zu entnehmen sei, was Anlass zur Annahme einer gegen den Beschwerdeführer gerichteten Verfolgung im Heimatstaat gäbe. Insofern hat das SEM den Sachverhalt hinreichend abgeklärt. Ohnehin hätte es dem Beschwerdeführer offen gestanden, mittels einer Einwilli- gungserklärung seines Bruders selbst um Einsicht in dessen Akten zu er- suchen. Stattdessen ergibt sich aus den Akten, dass der rubrizierte Rechts- vertreter mit Schreiben an die Vorinstanz vom 10. Februar 2021 mitteilte, H._______ (der Bruder des Beschwerdeführers) habe ihn mit der Wahrung seiner Interessen beauftragt, und er ersuche namens seines vorgenannten Klienten um Einsicht in dessen Asylakten. Dem Schreiben lag eine An- waltsvollmacht zwischen dem rubrizierten Rechtsvertreter und H._______ «zur Vertretung betreffend Akteneinsicht Asylakten SEM» vom 8. Februar 2021 bei (vgl. Beschwerdebeilage 3). Demnach ersuchte H._______ am 10. Februar 2021 – durch den rubrizierten Rechtsvertreter – in eigener Sa- che um Akteneinsicht. Da er jedoch nicht Partei im Verfahren des Be- schwerdeführers ist, kann ein behauptetes Nichtgewähren der Aktenein- sicht (vgl. Beschwerde S. 6, Ziff. 12) im vorliegenden Beschwerdeverfah- ren nicht gerügt werden. Die entsprechenden Ausführungen in der Be- schwerdeschrift sind denn ohnehin nicht nachvollziehbar, ergibt sich doch aus den vom Gericht konsultierten Akten N (…), dass dem Akteneinsichts- gesuch am 2. März 2021 entsprochen wurde.</w:t>
      </w:r>
    </w:p>
    <w:p>
      <w:r>
        <w:rPr>
          <w:b/>
        </w:rPr>
        <w:t>E. 4.4</w:t>
      </w:r>
    </w:p>
    <w:p>
      <w:r>
        <w:t>Nach dem Gesagten besteht keine Veranlassung, den angefochtenen Entscheid aus formellen Gründen aufzuheben und an die Vorinstanz zu- rückzuweisen. Die entsprechenden (Eventual-)Begehren sind abzuweisen.</w:t>
      </w:r>
    </w:p>
    <w:p>
      <w:r>
        <w:t>D-838/2021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den Anforderun- gen an die Glaubhaftigkeit nicht standhielten. So seien seine Ausführungen detailarm und repetitiv ausgefallen, dies trotz der mehrmaligen Aufforder- ung, sich ausführlich und detailliert zu äussern. Auch auf konkretes Nach- fragen hin, habe er das geltend Gemachte nicht umfangreich zu schildern vermocht. Es sei somit nicht davon auszugehen, es handle sich bei dem Geschilderten um tatsächlich Erlebtes. Nicht nachvollziehbar sei sodann auch, dass er erst im Jahr 2020 gesucht worden sei, wenn er doch bereits drei Jahre zuvor Militärdienst habe leisten sollen. Es bestehe somit Anlass</w:t>
      </w:r>
    </w:p>
    <w:p>
      <w:r>
        <w:t>D-838/2021 Seite 10 zur Annahme, er habe mit seinem Vorbringen seiner erst im Jahr 2020 er- folgten Ausreise ein Motiv verleihen wollen. Daran vermöge auch das zu den Akten gereichte Militärbüchlein nichts zu ändern, komme doch syri- schen Dokumenten nur in Verbindung mit einer substantiierten und glaub- haften Schilderung des Erlebten Beweiskraft zu.</w:t>
      </w:r>
    </w:p>
    <w:p>
      <w:r>
        <w:rPr>
          <w:b/>
        </w:rPr>
        <w:t>E. 6.2</w:t>
      </w:r>
    </w:p>
    <w:p>
      <w:r>
        <w:t>Dem hält der Beschwerdeführer in der Rechtsmitteleingabe im Wesent- lichen entgegen, seine Vorbringen seien glaubhaft. So habe er den Um- ständen entsprechend detailliert zu schildern vermocht, was ihm im Hei- matstaat widerfahren sei. Zudem gehe aus dem Anhörungsprotokoll her- vor, dass er die Anforderungen an sein Antwortverhalten dahingehend ver- standen habe, die Kausalität der Ereignisse zu schildern. Dem sei er denn auch einwandfrei nachgekommen. Ihm könne auch nicht angelastet wer- den, dass sein in der Schweiz vorläufig aufgenommener Bruder in seinem Asylverfahren keinerlei Angaben zu ihm (dem Beschwerdeführer) gemacht habe, sei sein Bruder doch bereits 2015 ausgereist. Bei den Ausführungen der Vorinstanz handle es sich ohnehin um pauschale Behauptungen und ihre Argumentation, eine Rekrutierung für die syrischen Sicherheitskräfte sei unwahrscheinlich, entspreche nicht den Tatsachen, da das syrische Re- gime weiterhin kurdischstämmige Personen in den Militärdienst einziehe. Aufgrund des Umstandes, dass ihm mehrmals vorgeworfen worden sei, den Militärdienst zu verweigern, sei er den Behörden bereits bekannt und gelte als Verräter. Es sei demnach offensichtlich, dass er im Falle einer Rückkehr nach Syrien wegen des Nichtantretens des Militärdiensts respek- tive wegen der Wehrdienstverweigerung infolge Flucht ins Ausland – in Kombination mit seiner kurdischen Ethnie und seiner aus F._______ stam- menden, als regimefeindlich bekannten Familie – seitens des syrischen Regimes als Staatsfeind betrachtet und asylrelevant verfolgt würde.</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Gemäss Rechtsprechung des Bundesverwaltungsgerichts vermag eine allfällige Wehrdienstverweigerung oder Desertion nicht per se die</w:t>
      </w:r>
    </w:p>
    <w:p>
      <w:r>
        <w:t>D-838/2021 Seite 11 Flüchtlingseigenschaft zu begründen, sondern nur verbunden mit einer Verfolgung im Sinn von Art. 3 Abs. 1 AsylG. Die betroffene Person muss aus den in dieser Norm genannten Gründen wegen ihrer Wehrdienstver- weigerung oder Desertion eine Behandlung zu gewärtigen haben, die ernsthaften Nachteilen gemäss Art. 3 Abs. 2 AsylG gleichkommt. In Bezug auf die spezifische Situation in Syrien erwog das Gericht weiter, die ge- nannten Voraussetzungen seien im Falle eines syrischen Refraktärs erfüllt, welcher der kurdischen Ethnie angehöre, einer oppositionell aktiven Fami- lie entstamme und bereits in der Vergangenheit die Aufmerksamkeit der staatlichen Sicherheitskräfte auf sich gezogen habe (vgl. Urteil des BVGer E-2042/2020 vom 11. August 2021 E. 6 m.H.a. BVGE 2015/3 E. 6.7.3).</w:t>
      </w:r>
    </w:p>
    <w:p>
      <w:r>
        <w:rPr>
          <w:b/>
        </w:rPr>
        <w:t>E. 7.3</w:t>
      </w:r>
    </w:p>
    <w:p>
      <w:r>
        <w:t>Nach Durchsicht der Akten kommt das Bundesverwaltungsgericht zum Schluss, dass die Vorbringen des Beschwerdeführers – ungeachtet der Frage der Glaubhaftigkeit, welche wohl zu verneinen wäre – als flüchtlings- rechtlich nicht relevant zu qualifizieren sind. Der Beschwerdeführer brachte an der Anhörung nicht vor, je ein Militärdienstaufgebot erhalten zu haben. Vielmehr habe man ihm im Jahr 2017 bei der Ausstellung seines Militär- büchleins – wobei dies «eine ganz normale Sache» gewesen sei – mitge- teilt, dass seinem Wunsch nach einer Verschiebung des Dienstes zu Stu- dienzwecken nicht entsprochen werden könne (vgl. A18/19 F11 f., F16, F47, F137). Gemäss seinen Angaben sei in der Folge zwei Mal nach ihm gesucht worden (vgl. A18/19 F15). Dass er bis zur Ausreise im Jahr 2020 anderweitig behelligt worden wäre, machte er nicht geltend und gab statt- dessen an, weitere Gründe für seine Ausreise habe es nicht gegeben (vgl. A18/19 F80, F85, F145 f.). Weder er noch seine Familienangehörigen seien politisch aktiv (vgl. A18/19 F70, F78, F108 f.). Zwar gab er zu Proto- koll, sein Vater sei aufgrund falscher Anschuldigungen eines Nachbarn vor 18 Jahren in Haft gewesen (vgl. A18/19 F66 ff., F110), die Frage nach ver- gangenen oder aktuellen Problemen der Familie mit den heimatlichen Be- hörden verneinte der Beschwerdeführer jedoch mehrmals ausdrücklich (vgl. A18/19 F69, F78). Unter diesen Umständen ist nicht davon auszuge- hen, dass der Beschwerdeführer oder seine Familie den heimatlichen Be- hörden als regimefeindlich bekannt ist.</w:t>
      </w:r>
    </w:p>
    <w:p>
      <w:r>
        <w:rPr>
          <w:b/>
        </w:rPr>
        <w:t>E. 7.4</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w:t>
      </w:r>
    </w:p>
    <w:p>
      <w:r>
        <w:t>D-838/2021 Seite 12 Familie eine besondere politische Exponiertheit vorliegt, ist das Vorliegen konkreter Indizien für die Annahme einer begründeten Furcht vor künftiger Verfolgung im Sinne der Rechtsprechung (vgl. BVGE 2011/51 E. 6.2 sowie BVGE 2011/50 E. 3.1.1) auch in dieser Hinsicht zu verneinen. Daran ver- mag der Umstand nichts zu ändern, dass der Beschwerdeführer aufgrund seiner längeren Landesabwesenheit bei einer (angesichts seiner vorläufi- gen Aufnahme in der Schweiz) hypothetischen Wiedereinreise in Syrien wahrscheinlich einer Befragung durch die heimatlichen Behörden unterzo- gen würde.</w:t>
      </w:r>
    </w:p>
    <w:p>
      <w:r>
        <w:rPr>
          <w:b/>
        </w:rPr>
        <w:t>E. 7.5</w:t>
      </w:r>
    </w:p>
    <w:p>
      <w:r>
        <w:t>Ferner hat er auch nicht geltend gemacht, er sei exilpolitisch in Erschei- nung getreten, weshalb auch unter diesem Gesichtspunkt nicht davon aus- zugehen ist, er könnte nach einer Rückkehr als regimefeindliche Person ins Blickfeld der syrischen Behörden geraten (vgl. Urteil des BVGer D-3839/2013 vom 28. Oktober 2015 E. 6.4.3 [als Referenzurteil publiziert]).</w:t>
      </w:r>
    </w:p>
    <w:p>
      <w:r>
        <w:rPr>
          <w:b/>
        </w:rPr>
        <w:t>E. 7.6</w:t>
      </w:r>
    </w:p>
    <w:p>
      <w:r>
        <w:t>Nach dem Gesagten ist festzustellen, dass es dem Beschwerdeführer nicht gelungen ist, die Flüchtlingseigenschaft nachzuweisen oder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Das Gesuch um Verzicht auf die Erhebung eines Kostenvorschusses (Art. 63 Abs. 4 VwVG) ist mit vorliegendem Direktentscheid gegenstands- los geworden.</w:t>
      </w:r>
    </w:p>
    <w:p>
      <w:r>
        <w:t>D-838/2021 Seite 13</w:t>
      </w:r>
    </w:p>
    <w:p>
      <w:r>
        <w:rPr>
          <w:b/>
        </w:rPr>
        <w:t>E. 10.2</w:t>
      </w:r>
    </w:p>
    <w:p>
      <w:r>
        <w:t>Die Beschwerdebegehren erwiesen sich nach dem Gesagten als aus- sichtslos, weshalb das Gesuch um Gewährung der unentgeltlichen Pro- zessführung – ungeachtet der nachgewiesenen Bedürftigkeit – abzuwei- sen ist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D-838/2021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