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D-836/2017 vom 20. Februar 2017</w:t>
      </w:r>
    </w:p>
    <w:p>
      <w:r>
        <w:t>Bundesverwaltungsgericht, 2017-02-20, DE</w:t>
      </w:r>
    </w:p>
    <w:p>
      <w:r>
        <w:rPr>
          <w:b/>
        </w:rPr>
        <w:t xml:space="preserve">Quelle: </w:t>
      </w:r>
      <w:r>
        <w:t>https://mcp.opencaselaw.ch/entscheid/bvger_D-836_2017</w:t>
      </w:r>
    </w:p>
    <w:p>
      <w:r>
        <w:t>FR: TAF D-836/2017 du 20 février 2017</w:t>
      </w:r>
    </w:p>
    <w:p>
      <w:r>
        <w:t>IT: TAF D-836/2017 del 20 febbraio 2017</w:t>
      </w:r>
    </w:p>
    <w:p>
      <w:pPr>
        <w:pStyle w:val="Heading2"/>
      </w:pPr>
      <w:r>
        <w:t>Regeste</w:t>
      </w:r>
    </w:p>
    <w:p>
      <w:r>
        <w:t>Asylverfahren (Übriges)</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[SR 142.31]).</w:t>
      </w:r>
    </w:p>
    <w:p>
      <w:r>
        <w:rPr>
          <w:b/>
        </w:rPr>
        <w:t>E. 1.2</w:t>
      </w:r>
    </w:p>
    <w:p>
      <w:r>
        <w:t>Die Eingabe vom 7. Februar 2017 wird als Revisionsgesuch bezeichnet, in der Sache wird jedoch um Wiederherstellung der Frist zur Einreichung der Fürsorgebestätigung ersucht, was insbesondere den Ausführungen unter II. Bst. c derselben zu entnehmen ist. Eine falsche Bezeichnung des Rechtsmittels schadet indessen nicht, sofern die Gültigkeitsanforderungen der zutreffenden Rechtsvorkehr erfüllt sind (vgl. Moser/Beusch/Kneubühler, Prozessieren vor dem Bundesverwaltungsgericht, 2. Auflage 2013; S. 128; Fritz Gygi, Bundesverwaltungsrechtspflege, 2. Aufl. 1983, S. 50 und 198).</w:t>
      </w:r>
    </w:p>
    <w:p>
      <w:r>
        <w:rPr>
          <w:b/>
        </w:rPr>
        <w:t>E. 2.1</w:t>
      </w:r>
    </w:p>
    <w:p>
      <w:r>
        <w:t>Die Zuständigkeit des Bundesverwaltungsgerichts umfasst auch die Beurteilung von Gesuchen um Wiederherstellung von Fristen im Sinne von Art. 24 Abs. 1 VwVG, bei denen es im Falle der Wiederherstellung über die nachgeholte Parteihandlung beziehungsweise Rechtsvorkehr zu befinden hat (vgl. EGLI PATRICIA, in: Waldmann/Weissenberger [Hrsg.], Praxiskommentar VwVG, 2. Aufl. 2016, Art. 24 N 6).</w:t>
      </w:r>
    </w:p>
    <w:p>
      <w:r>
        <w:rPr>
          <w:b/>
        </w:rPr>
        <w:t>E. 2.2</w:t>
      </w:r>
    </w:p>
    <w:p>
      <w:r>
        <w:t>Das Bundesverwaltungsgericht entscheidet in der Regel in der Besetzung mit drei Richterinnen oder Richtern (Art. 21 Abs. 1 VGG). Da Fristwiederherstellungsgesuche im Sinne von Art. 24 VwVG nicht unter die in Art. 111 AsylG auf dem Gebiet des Asylrechts dem Einzelrichter respektive der Einzelrichterin vorbehaltenen Zuständigkeiten fallen, ist vorliegend ein Dreierspruchkörper einzusetzen.</w:t>
      </w:r>
    </w:p>
    <w:p>
      <w:r>
        <w:rPr>
          <w:b/>
        </w:rPr>
        <w:t>E. 3.1</w:t>
      </w:r>
    </w:p>
    <w:p>
      <w:r>
        <w:t>Gemäss Art. 24 Abs. 1 VwVG wird eine versäumte Frist wiederhergestellt, wenn der Gesuchsteller oder sein Vertreter unverschuldeterweise davon abgehalten worden ist, binnen Frist zu handeln, sofern er unter Angabe des Grundes innert 30 Tagen nach Wegfall des Hindernisses darum ersucht und die versäumte Rechtshandlung nachholt.</w:t>
      </w:r>
    </w:p>
    <w:p>
      <w:r>
        <w:rPr>
          <w:b/>
        </w:rPr>
        <w:t>E. 3.2</w:t>
      </w:r>
    </w:p>
    <w:p>
      <w:r>
        <w:t>Eine Fristwiederherstellung bezweckt die Beseitigung von Rechtsnachteilen wegen unverschuldeter Fristversäumnis (vgl. EGLI PATRICIA, a.a.O., Art. 24 N 1; STEFAN VOGEL in: Auer/Müller/Schindler [Hrsg.], Kommentar zum Bundesgesetz über das Verwaltungsverfahren, Zürich/St. Gallen 2008, N 1 zu Art. 24 VwVG). Nach Lehre und Rechtsprechung zu Art. 24 Abs. 1 VwVG gilt ein Fristversäumnis nur dann als unverschuldet, wenn objektive Gründe vorliegen und der säumigen Partei beziehungsweise ihrer Vertretung keine Nachlässigkeit vorgeworfen werden kann, sondern das Versäumnis auf eine erhebliche Behinderung wie etwa durch das fehlerhafte Verhalten einer Behörde zurückzuführen ist (vgl. ALFRED KÖLZ/ISABELLE HÄNER/MARTIN BERTSCHI, Verwaltungsverfahren und Verwaltungsrechtspflege des Bundes, 3. Aufl., Zürich/Basel/Genf 2013, Rz 587; EGLI PATRICIA, a.a.O., Art. 24 N 12; BGE 112 V 255, BGE 108 V 109).</w:t>
      </w:r>
    </w:p>
    <w:p>
      <w:r>
        <w:rPr>
          <w:b/>
        </w:rPr>
        <w:t>E. 3.3</w:t>
      </w:r>
    </w:p>
    <w:p>
      <w:r>
        <w:t>Die Fristwiederherstellung nach Art. 24 Abs. 1 VwVG kann auch verlangt werden, wenn das Verfahren, in dem die Partei eine Frist versäumte, bereits abgeschlossen ist, wobei im Falle einer Gutheissung des Fristwiederherstellungsgesuchs der bestehende Entscheid aufgehoben wird (vgl. EGLI PATRICIA, a.a.O., Art. 24 N 6).</w:t>
      </w:r>
    </w:p>
    <w:p>
      <w:r>
        <w:rPr>
          <w:b/>
        </w:rPr>
        <w:t>E. 3.4</w:t>
      </w:r>
    </w:p>
    <w:p>
      <w:r>
        <w:t>Die Gesuchstellenden haben mit ihrer Eingabe vom 7. Februar 2017 die versäumte Rechtshandlung (Einreichung einer Bestätigung der Fürsorgeabhängigkeit) fristgerecht nachgeholt. Auf die als frist- und formgerecht eingereicht zu bezeichnende Laien-Eingabe vom 7. Februar 2017 ist somit einzutreten (Art. 24 Abs. 1 VwVG).</w:t>
      </w:r>
    </w:p>
    <w:p>
      <w:r>
        <w:rPr>
          <w:b/>
        </w:rPr>
        <w:t>E. 4.1</w:t>
      </w:r>
    </w:p>
    <w:p>
      <w:r>
        <w:t>Aufgrund der Bestätigung der (...) vom 2. Februar 2017 steht fest, dass die an die Wohnadresse der Gesuchstellenden adressierte Post in einen Sammelbriefkasten eingeworfen wird. Die Post werde von einem Mitarbeiter der (...) geleert und grundsätzlich unter der Wohnungstür durchgeschoben. Es sei vorgekommen, dass Abholungseinladungen von der Post an die Infotafel der Siedlung gehängt worden seien, und es sei wiederholt zu Schwierigkeiten bei der Verteilung der Post gekommen. Briefe seien verloren gegangen oder zu spät zugestellt worden.</w:t>
      </w:r>
    </w:p>
    <w:p>
      <w:r>
        <w:rPr>
          <w:b/>
        </w:rPr>
        <w:t>E. 4.2</w:t>
      </w:r>
    </w:p>
    <w:p>
      <w:r>
        <w:t>Vorliegend steht zwar nicht fest, dass die Abholungseinladung den Gesuchstellenden nicht zur Kenntnis gelangte, es kann aber auch nicht mit überwiegender Wahrscheinlichkeit davon ausgegangen werden, die Abholungseinladung sei in ihre Hände gelangt. Angesichts der Tatsache, dass sie sich nach Einreichung der Beschwerde zweimal an das Bundesverwaltungsgericht wandten und bei der Abfassung der Beschwerde und den nachträglich zugestellten Beweismitteln von einer der Amtssprache mächtigen Person unterstützt wurden, darf davon ausgegangen werden, die Gesuchstellenden hätten die Zwischenverfügung vom 28. Dezember 2016 abgeholt und darauf reagiert, sollte ihnen die Abholungseinladung ausgehändigt worden beziehungsweise diese in ihren Machtbereich gelangt sein. Angesichts der beschriebenen, als äusserst problematisch zu wertenden Postverteilungspraxis in der Wohnsiedlung (...), ist von objektiven Gründen auszugehen, die für das Versäumnis der Gesuchstellenden, fristgerecht eine Fürsorgebestätigung einzureichen, verantwortlich waren. Die Tatsache, dass sie nicht auf die Zwischenverfügung vom 28. Dezember 2016 reagierten, ist angesichts der konkreten Umstände als unverschuldet zu betrachten.</w:t>
      </w:r>
    </w:p>
    <w:p>
      <w:r>
        <w:rPr>
          <w:b/>
        </w:rPr>
        <w:t>E. 4.3</w:t>
      </w:r>
    </w:p>
    <w:p>
      <w:r>
        <w:t>Das Gesuch um Fristwiederherstellung ist demnach gutzuheissen und das Urteil des Bundesverwaltungsgericht D-7806/2016 vom 19. Januar 2017 aufzuheben. Das Beschwerdeverfahren ist wieder aufzunehmen.</w:t>
      </w:r>
    </w:p>
    <w:p>
      <w:r>
        <w:rPr>
          <w:b/>
        </w:rPr>
        <w:t>E. 5</w:t>
      </w:r>
    </w:p>
    <w:p>
      <w:r>
        <w:t>Bei diesem Ausgang des Fristwiederherstellungsverfahrens sind keine Verfahrenskosten aufzuerlegen (Art. 63 Abs. 1 VwVG).</w:t>
      </w:r>
    </w:p>
    <w:p>
      <w:r>
        <w:rPr>
          <w:b/>
        </w:rPr>
        <w:t>E. 6.1</w:t>
      </w:r>
    </w:p>
    <w:p>
      <w:r>
        <w:t>Der ganz oder teilweise obsiegenden Partei kann von Amtes wegen oder auf Begehren eine Entschädigung für ihr erwachsene notwendige und verhältnismässig hohe Kosten zugesprochen werden (Art. 64 Abs. 1 VwVG).</w:t>
      </w:r>
    </w:p>
    <w:p>
      <w:r>
        <w:rPr>
          <w:b/>
        </w:rPr>
        <w:t>E. 6.2</w:t>
      </w:r>
    </w:p>
    <w:p>
      <w:r>
        <w:t>Die Gesuchstellenden waren im vorliegenden Fristwiederherstellungsverfahren nicht vertreten, weshalb nicht davon auszugehen ist, ihnen seien verhältnismässig hohe Kosten entstanden. Somit ist ihnen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