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D-8356/2010 vom 17. November 2011</w:t>
      </w:r>
    </w:p>
    <w:p>
      <w:r>
        <w:t>Bundesverwaltungsgericht, 2011-11-17, DE</w:t>
      </w:r>
    </w:p>
    <w:p>
      <w:r>
        <w:rPr>
          <w:b/>
        </w:rPr>
        <w:t xml:space="preserve">Quelle: </w:t>
      </w:r>
      <w:r>
        <w:t>https://mcp.opencaselaw.ch/entscheid/bvger_D-8356_2010</w:t>
      </w:r>
    </w:p>
    <w:p>
      <w:r>
        <w:t>FR: TAF D-8356/2010 du 17 novembre 2011</w:t>
      </w:r>
    </w:p>
    <w:p>
      <w:r>
        <w:t>IT: TAF D-8356/2010 del 17 novembre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 [BVGE] 2007/30 E. 5.2 - E. 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 5.7), was vorliegend erfolgt ist (vgl. Erwägung D.a vorstehend). Ausserdem hat das BFM den Verzicht auf eine Befragung begründet (vgl. BVGE 2007/30 E. 5.6 - E. 5.7). Für die Erteilung einer Einreisebewilligung gelten restriktive Voraussetzungen, wobei den Behörden ein weiter Ermessensspielraum zukommt. Neben der erforderlichen Gefährdung im Sinne von Art. 3 AsylG sind namentlich die Beziehungsnähe zur Schweiz, die Möglichkeit zur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 - g S. 131 ff., welcher angesichts bloss redaktioneller Änderungen bei der letzten Totalrevision des Asylgesetzes nach wie vor Gültigkeit hat).</w:t>
      </w:r>
    </w:p>
    <w:p>
      <w:r>
        <w:rPr>
          <w:b/>
        </w:rPr>
        <w:t>E. 5</w:t>
      </w:r>
    </w:p>
    <w:p>
      <w:r>
        <w:t>Die Vorbringen in der Beschwerdeeingabe vom 19. November 2010 (Eingangsstempel der Schweizer Vertretung) sind nicht geeignet, eine Änderung der vorinstanzlichen Verfügung zu bewirken. Der Argumentation der Vorinstanz werden keine stichhaltigen und substanziierten Gründe entgegengesetzt. Eine diesbezügliche Auseinandersetzung unterbleibt zwar nicht gänzlich. Die Ausführungen des Beschwerdeführers vermögen jedoch die nachvollziehbaren Erwägungen des BFM nicht umzustossen. Das BFM hat in der angefochtenen Verfügung zu Recht festgestellt, dass es in den Akten des Beschwerdeführers keine Anhaltspunkte dafür gebe, dass er tatsächlich und konkret Verfolgungsmassnahmen im Sinne von Art. 3 AsylG ausgesetzt sei, weshalb er die Anforderungen an die Schutzbedürftigkeit nicht erfülle. Im Verlauf des Asylverfahrens fällt auf, dass der Beschwerdeführer anfänglich nur vage die von ihm erlittenen Behelligungen schildern kann. So will er immer von Unbekannnten und meist im Dunkeln oder mit anonymen Drohanrufen belästigt worden sein. Auch sein Velo soll von Unbekannten entwendet worden sein (vgl. unter anderem die Eingaben des Beschwerdeführers vom 24. Juni 2009, vom 2. Januar 2010 sowie vom 31. Januar 2010 an die Schweizer Vertretung in Colombo). Mit Eingabe vom 7. August 2010 an die Schweizer Vertretung in Colombo (Eingangsstempel vom 19. August 2010) wird er erstmals etwas konkreter, indem er die Unbekannten einer bewaffneten tamilischen Gang zuordnet, und erklärt, der Übergriff vom 9. Juli 2010 gehe auch auf eine bewaffnete tamilische Gang zurück. Auf Beschwerdeebene holt der Beschwerdeführer erstmals weiter aus und bringt vor, seine gegenwärtigen Probleme beruhten auf seinem Arbeitsverhältnis aus dem Jahre 2005. Damals sei er Fahrer eines srilankischen Politikers gewesen, welcher gemeinsam mit ihm in Opposition zur jetzigen Regierung gestanden habe. Deshalb werde er auch immer noch von Mitgliedern der LTTE bedroht. Weil er nicht für die gegenwärtige Regierung Sri Lankas gewesen sei und weil ein ehemaliges Mitglied der LTTE namens C._______ für diese sei, könne er auch nicht einfach zum Polizeiposten von B._______ gehen. Er würde sein Leben verlieren, da ihn C._______ und seine Anhänger ohne Zweifel ermorden würden. Diese erstmals auf Beschwerdeebene geltend gemachten Präzisierungen erscheinen als nachgeschobenes Sachverhaltskonstrukt. Bei dieser Sachlage kann, um Wiederholungen zu vermeiden auf die Ausführungen in der angefochtenen Verfügung verwiesen werden. Nach dem Gesagten droht dem Beschwerdeführer keine asylrelevante Verfolgung im Sinne von Art. 3 AsylG.</w:t>
      </w:r>
    </w:p>
    <w:p>
      <w:r>
        <w:rPr>
          <w:b/>
        </w:rPr>
        <w:t>E. 6</w:t>
      </w:r>
    </w:p>
    <w:p>
      <w:r>
        <w:t>Aufgrund der vorstehenden Erwägungen erübrigt es sich, auf die weiteren Ausführungen in der Beschwerde sowie auf die eingereichten Beweismittel im Einzelnen einzugehen, da sie am Ergebnis der vorgenommenen Würdigung nichts zu ändern vermögen. Es ist dem Beschwerdeführer nicht gelungen, eine Verfolgung im Sinne von Art. 3 AsylG nachzuweisen oder zumindest glaubhaft zu machen. Die Schutzbedürftigkeit des Beschwerdeführers im Sinne von Art. 20 i.V.m. Art. 3 AsylG ist mithin nicht gegeben,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