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D-8350/2015 vom 27. April 2016</w:t>
      </w:r>
    </w:p>
    <w:p>
      <w:r>
        <w:t>Bundesverwaltungsgericht, 2016-04-27, DE</w:t>
      </w:r>
    </w:p>
    <w:p>
      <w:r>
        <w:rPr>
          <w:b/>
        </w:rPr>
        <w:t xml:space="preserve">Quelle: </w:t>
      </w:r>
      <w:r>
        <w:t>https://mcp.opencaselaw.ch/entscheid/bvger_D-8350_2015</w:t>
      </w:r>
    </w:p>
    <w:p>
      <w:r>
        <w:t>FR: TAF D-8350/2015 du 27 avril 2016</w:t>
      </w:r>
    </w:p>
    <w:p>
      <w:r>
        <w:t>IT: TAF D-8350/2015 del 27 aprile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oder er zumindest als Flüchtlinge vorläufig aufzunehmen ist. Es ist an dieser Stelle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alternativer Natur sind (vgl. dazu BVGE 2011/7 E. 8, mit weiteren Hinweisen). Der in der Beschwerde gestellte Antrag auf eventuelle Feststellung der Unzulässigkeit des Wegweisungsvollzugspunktes (vgl. Ziff. 3 der Rechtsbegehren) ist daher unzulässig, da es an einem schutzwürdigen Interesse (Art. 48 Abs. 1 Bst. c VwVG) für diese Feststellung fehlt.</w:t>
      </w:r>
    </w:p>
    <w:p>
      <w:r>
        <w:rPr>
          <w:b/>
        </w:rPr>
        <w:t>E. 4</w:t>
      </w:r>
    </w:p>
    <w:p>
      <w:r>
        <w:t>Das Bundesverwaltungsgericht wendet das Bundesrecht im Beschwerdeverfahren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2007/24 E. 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6.1</w:t>
      </w:r>
    </w:p>
    <w:p>
      <w:r>
        <w:t>Die Vorinstanz führte zur Begründung ihres ablehnenden Entscheids im Wesentlichen aus, aufgrund der Vorbringen des Beschwerdeführers betreffend das gegen ihn geführte Gerichtsverfahren ergäben sich keine Hinweise darauf, dass er im geltend gemachten Zusammenhang seitens der eritreischen Behörden in absehbarer Zukunft staatliche Verfolgungsmassnahmen zu befürchten habe. Diese Einschätzung werde bestätigt durch die Aussage des Beschwerdeführers, wonach er nach dem gerichtlichen Freispruch bis zu seiner Ausreise friedlich gelebt habe. Dieses Vorbringen sei daher nicht asylrelevant. Der Beschwerdeführer mache sodann geltend, er habe Eritrea illegal verlassen. Diese geltend gemachten subjektiven Nachfluchtgründe müssten von ihm jedoch bewiesen oder zumindest glaubhaft gemacht werden. Die Tatsache, dass es nur beschränkte legale Ausreisemöglichkeiten aus Eritrea gebe, führe nicht zu einer Umkehr der Beweislast. Die Schilderungen des Beschwerdeführers zu seinen Ausreiseumständen seien indessen unglaubhaft. Insbesondere erscheine das Vorbringen, wonach er die Grenze zwischen Eritrea und Sudan zu Fuss überquert habe und dabei keinerlei Probleme gehabt habe, im eritreischen Kontext als nicht nachvollziehbar. Zudem habe er sich in Bezug auf die Fortbewegungsart widersprochen (zu Fuss vs. Auto). Er habe ausserdem widersprüchliche Angaben gemacht in Bezug auf die Frage, wo er sich aufgehalten habe, als er von der Ausreiseabsicht seiner Ehefrau erfahren habe. Aufgrund dieser Unstimmigkeiten sei die geltend gemachte illegale Ausreise aus Eritrea nicht glaubhaft. Damit sei es ihm nicht gelungen, das Vorliegen von subjektiven Nachfluchtgründen glaubhaft zu machen. Insgesamt erfüllten die Asylvorbringen des Beschwerdeführers die Anforderungen von Art. 3 und 7 AsylG nicht, weshalb die Flüchtlingseigenschaft zu verneinen und das Asylgesuch abzulehnen sei.</w:t>
      </w:r>
    </w:p>
    <w:p>
      <w:r>
        <w:rPr>
          <w:b/>
        </w:rPr>
        <w:t>E. 6.2</w:t>
      </w:r>
    </w:p>
    <w:p>
      <w:r>
        <w:t>In der Beschwerde wird zunächst der Sachverhalt wiederholt und ausgeführt, der Beschwerdeführer habe gegen seinen Willen, im Rahmen einer Art Militärdienstes, in einer Cafeteria arbeiten müssen. Er habe für unbestimmte Zeit Zwangsarbeit bei niedrigem Lohn leisten müssen, wobei die Stelle nicht seinen Fähigkeiten entsprochen habe. Wegen Auseinandersetzungen mit dem Vorgesetzten, einem Militäroffizier, sei er grundlos vor ein Militärgericht gestellt worden. In der Folge sei er bedingt freigesprochen worden. Hätte er in Zukunft erneut vor Gericht erscheinen müssen, hätte er sechs Monate Haft riskiert. Das SEM habe die Asylgründe des Beschwerdeführers nicht richtig verstanden oder falsch interpretiert. Er habe durchaus begründete Furcht, in Zukunft von seinem Vorgesetzten ungerechtfertigt angeklagt und schikaniert oder anderweitigen ernsthaften Nachteilen ausgesetzt zu werden. Seine Vorbringen seien daher asylrelevant. In Bezug auf die Frage der illegalen Ausreise wird in der Beschwerde vorgebracht, der Personalausweis des Beschwerdeführers habe in Eritrea die Funktion eines Passierscheins. Er habe die Weihnachtsferien dazu benutzt, sich von seiner Arbeitsstelle zu entfernen. Es sei mit Blick auf die Gesamtumstände nicht wesentlich, ob er zu Fuss nach Kassala gegangen oder von Shelabob nach Kassala mit dem Auto gefahren sei. Er habe seine Aussage in der Anhörung vervollständigt und ergänzt. Das SEM habe selbst dargelegt, dass die legale Ausreise aus Eritrea nur schwer möglich sei. Der Beschwerdeführer sei seit dem Jahr 2004 im Militär- respektive Nationaldienst gewesen und habe sich ohne Erlaubnis von seiner Dienststelle entfernt. Er habe sein Heimatland nur unter Umgehung der eritreischen Grenzkontrollen verlassen können. Es lägen somit subjektive Nachfluchtgründe vor. Anzufügen sei, dass es gemäss dem Bericht des European Asylum Support Office vom Mai 2015 zahlreichen Menschen gelinge, trotz strenger Bewachung der Grenzen illegal aus Eritrea auszureisen. Gemäss der Rechtsprechung des Bundesverwaltungsgerichts müssten illegal ausgereiste eritreische Staatsangehörige bei ihrer Rückkehr ins Heimatland mit asylrelevanten Nachteilen rechnen. Daher erfülle der Beschwerdeführer die Flüchtlingseigenschaft und es lägen subjektive Nachfluchtgründe vor.</w:t>
      </w:r>
    </w:p>
    <w:p>
      <w:r>
        <w:rPr>
          <w:b/>
        </w:rPr>
        <w:t>E. 7.1</w:t>
      </w:r>
    </w:p>
    <w:p>
      <w:r>
        <w:t>In der Beschwerde wird unter anderem vorgebracht, das SEM habe die Asylgründe des Beschwerdeführers, namentlich seine Vorbringen in Bezug auf seine Tätigkeit im Rahmen des Militärdienstes und seine Anklage vor einem Militärgericht, nicht richtig verstanden oder zumindest falsch interpretiert. Dieses Vorbringen ist im Sinne der vorstehenden Ausführungen unter E. 4 als sinngemässe Rüge der Verletzung der Prüfungs- und Begründungspflicht respektive der Pflicht zur richtigen und vollständigen Feststellung des rechtserheblichen Sachverhalts nachfolgend vorab zu behandeln.</w:t>
      </w:r>
    </w:p>
    <w:p>
      <w:r>
        <w:rPr>
          <w:b/>
        </w:rPr>
        <w:t>E. 7.2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7.3</w:t>
      </w:r>
    </w:p>
    <w:p>
      <w:r>
        <w:t>Für den vorliegenden Fall ist festzustellen, dass der Beschwerdeführer im Verlauf des vorinstanzlichen Verfahrens mehrfach Aussagen machte, welche darauf schliessen lassen, dass er sich im Zeitpunkt seiner Ausreise aus Eritrea im aktiven Militär- respektive Nationaldienst befand. In der Befragung im EVZ brachte er diesbezüglich vor, er habe die Schule im Jahr 2008 beendet und sei anschliessend bis im Jahr 2014 in E._______ im Militärdienst gewesen, wo er für die Schulkantine verantwortlich gewesen sei. Am 12. Januar 2014 sei er dann ausgereist (vgl. A3 S. 4 und 5). Zudem erwähnte er, er habe aufgrund einer Anklage gegen ihn vor einem Spezialgericht erscheinen müssen (vgl. A3 S. 8). Er machte ausserdem geltend, er hätte aus medizinischen Gründen einen Anspruch auf Demobilisierung gehabt und habe auch das entsprechende Arztzeugnis eingereicht, sein Vorgesetzter habe dem jedoch keine Beachtung geschenkt (vgl. A3 S. 9). Auch in der nachfolgenden Anhörung erwähnte er den Community Service respektive den Nationaldienst, den er durch seine Arbeit in der Schulcafeteria absolviert habe (vgl. A15 S. 3 und 6). Er führte ferner aus, er habe vor einem speziellen Gericht erscheinen müssen, welches für Militärangehörige zuständig sei (vgl. A15 S. 7). Im Weiteren brachte er vor, diejenigen, die im Militärdienst seien, würden immer von den Vorgesetzten unterdrückt (vgl. A15 S. 7 und 9). Das SEM erwähnte diese Sachverhaltselemente respektive den vom Beschwerdeführer geltend gemachten militärischen Kontext in der angefochtenen Verfügung mit keinem Wort, und zwar weder im Sachverhalt noch in den Erwägungen. Die entsprechenden Vorbringen sind indes als offensichtlich rechtserheblich zu qualifizieren, da die (glaubhafte) unbewilligte Entfernung aus dem aktiven Militärdienst in Eritrea regelmässig eine asylbeachtliche Verfolgung nach sich zieht (vgl. die konstante diesbezügliche Rechtsprechung des Bundesverwaltungsgericht, so beispielsweise das Urteil des BVGer E-5761/2013 vom 12. Juni 2014 E. 6.1). Bei dieser Sachlage wäre das SEM daher verpflichtet gewesen, die vorstehend erwähnten, für das Asylverfahren relevanten Vorbringen des Beschwerdeführers betreffend seine Militärdienstleistung vollständig und korrekt in der Sachverhaltszusammenfassung aufzuführen, gegebenenfalls vorab Überlegungen zur Frage der Glaubhaftigkeit anzustellen und/oder weitere Abklärungen zu tätigen und die vollständigen wesentlichen Sachverhaltsvorbringen sodann in den Erwägungen angemessen zu prüfen und zu würdigen. Indem das SEM in der angefochtenen Verfügung nicht alle wesentlichen Sachumstände berücksichtigt hat, hat es den rechtserheblichen Sachverhalt unvollständig festgestellt. Daraus resultierte zwangsläufig eine ungenügende Prüfung respektive Entscheidbegründung, indem sich das SEM in seinen Erwägungen nicht mit allen wesentlichen Parteivorbringen auseinandergesetzt hat. Damit hat das SEM im Ergebnis den Anspruch des Beschwerdeführers auf rechtliches Gehör verletzt.</w:t>
      </w:r>
    </w:p>
    <w:p>
      <w:r>
        <w:rPr>
          <w:b/>
        </w:rPr>
        <w:t>E. 8</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Für den vorliegenden Fall ist festzustellen, dass das SEM in der angefochtenen Verfügung gleich mehrfach den Anspruch auf rechtliches Gehör verletzt hat, indem es den rechtserheblichen Sachverhalt unvollständig festgestellt und darüber hinaus die Prüfungs- und Begründungspflicht verletzt hat. Diese Gehörsverletzung muss als schwerwiegend bezeichnet werden, zumal aufgrund der Aktenlage nicht davon ausgegangen werden kann, dass es sich dabei um ein Versehen handelte. Ausserdem hat das SEM seine Unterlassungen auch in der Vernehmlassung vom 18. Januar 2016 nicht korrigiert; dies ungeachtet dessen, dass in der Beschwerde ausdrücklich vorgebracht wird, der Beschwerdeführer habe sich seit dem Jahr 2004 im Militärdienst befunden, habe vor einem Militärgericht erscheinen müssen und habe sich ohne Erlaubnis von seiner Dienststelle entfernt. Obwohl die Beschwerde grundsätzlich reformatorisch ausgestaltet ist (vgl. Art. 61 Abs. 1 VwVG), erscheint es demnach im vorliegenden Fall als angebracht, die angefochtene Verfügung aufzuheben und die Sache zur formell korrekten Durchführung des Verfahrens an die Vorinstanz zurückzuweisen.</w:t>
      </w:r>
    </w:p>
    <w:p>
      <w:r>
        <w:rPr>
          <w:b/>
        </w:rPr>
        <w:t>E. 9</w:t>
      </w:r>
    </w:p>
    <w:p>
      <w:r>
        <w:t>Nach dem Gesagten ist die Beschwerde insofern gutzuheissen, als damit die Aufhebung der angefochtenen Verfügung vom 30. November 2015 bezüglich der Dispositivziffern 1-3 beantragt wurde. Die Sache ist in Anwendung von Art. 61 Abs. 1 in fine VwVG zur erneuten Beurteilung im Sinne der Erwägungen und zur neuen Entscheidung an die Vorinstanz zurückzuweisen.</w:t>
      </w:r>
    </w:p>
    <w:p>
      <w:r>
        <w:rPr>
          <w:b/>
        </w:rPr>
        <w:t>E. 10</w:t>
      </w:r>
    </w:p>
    <w:p>
      <w:r>
        <w:t>Bei dieser Sachlage erübrigt es sich, auf die übrigen Anträge und Ausführungen in der Beschwerdeschrift näher einzugehen.</w:t>
      </w:r>
    </w:p>
    <w:p>
      <w:r>
        <w:rPr>
          <w:b/>
        </w:rPr>
        <w:t>E. 11.1</w:t>
      </w:r>
    </w:p>
    <w:p>
      <w:r>
        <w:t>Bei diesem Ausgang des Verfahrens sind keine Verfahrenskosten aufzuerlegen (Art. 63 Abs. 1 und 2 VwVG).</w:t>
      </w:r>
    </w:p>
    <w:p>
      <w:r>
        <w:rPr>
          <w:b/>
        </w:rPr>
        <w:t>E. 11.2</w:t>
      </w:r>
    </w:p>
    <w:p>
      <w:r>
        <w:t>Dem obsiegenden und vertretenen Beschwerdeführer ist zulasten der Vorinstanz eine Parteientschädigung für die ihm erwachsenen notwendigen und verhältnismässig hohen Kosten zuzusprechen (vgl. Art. 64 Abs. 1 VwVG i.V.m. Art. 37 VGG sowie Art. 7 des Reglements über die Kosten und Entschädigungen vor dem Bundesverwaltungsgericht vom 21. Februar 2008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