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D-834/2010 vom 9. November 2010</w:t>
      </w:r>
    </w:p>
    <w:p>
      <w:r>
        <w:t>Bundesverwaltungsgericht, 2010-11-09, DE</w:t>
      </w:r>
    </w:p>
    <w:p>
      <w:r>
        <w:rPr>
          <w:b/>
        </w:rPr>
        <w:t xml:space="preserve">Quelle: </w:t>
      </w:r>
      <w:r>
        <w:t>https://mcp.opencaselaw.ch/entscheid/bvger_D-834_2010</w:t>
      </w:r>
    </w:p>
    <w:p>
      <w:r>
        <w:t>FR: TAF D-834/2010 du 9 novembre 2010</w:t>
      </w:r>
    </w:p>
    <w:p>
      <w:r>
        <w:t>IT: TAF D-834/2010 del 9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4.2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4.3</w:t>
      </w:r>
    </w:p>
    <w:p>
      <w:r>
        <w:t>Das BFM lehnte das Asylgesuch der Beschwerdeführenden im Wesentlichen mit der Begründung ab, dass im vorliegenden Fall vom Vorhandensein eines adäquaten Schutzes durch den Heimatstaat auszugehen sei und somit die geltend gemachten Übergriffe durch Dritte in casu nicht asylrelevant seien.</w:t>
      </w:r>
    </w:p>
    <w:p>
      <w:r>
        <w:rPr>
          <w:b/>
        </w:rPr>
        <w:t>E. 4.4</w:t>
      </w:r>
    </w:p>
    <w:p>
      <w:r>
        <w:t>Die Anerkennung der Flüchtlingseigenschaft setzt voraus, dass die betroffene Person einer landesweiten Verfolgung ausgesetzt ist und sich nicht in einem anderen Teil ihres Heimatstaates - oder auch in einem anderen, für sie zuständigen Staat - in Schutz bringen kann. Nach dem Grundsatz der Subsidiarität asylrechtlichen Schutzes (vgl. dazu EMARK 2006 Nr. 18 E. 10.1 S. 201 sowie EMARK 2000 Nr. 15 E. 12a S. 127 f.) ist eine Schutzgewährung durch ein Asylland nämlich dann nicht (oder nicht mehr) erforderlich, wenn ein anderer Staat, insbesondere der Heimatstaat, zur Schutzgewährung verpflichtet ist. Damit schliesst sich eine Asylgewährung durch die Schweiz im Regelfall aus, wenn eine asylsuchende Person über eine doppelte Staatsangehörigkeit verfügt. Hat sie in einem ihrer beiden Heimatstaaten Verfolgung erlitten, kann sie sich aber in ihren anderen Heimatstaat begeben, wo ihr keine Verfolgung droht, so bedarf es keiner asylrechtlichen Schutzgewährung durch die Schweiz (vgl. Urteil des Bundesverwaltungsgerichts D-5819/2006 vom 12. November 2009 E. 5.4).</w:t>
      </w:r>
    </w:p>
    <w:p>
      <w:r>
        <w:rPr>
          <w:b/>
        </w:rPr>
        <w:t>E. 4.5</w:t>
      </w:r>
    </w:p>
    <w:p>
      <w:r>
        <w:t>Die Beschwerdeführenden bezeichnen sich selbst als serbische Staatsangehörige (vgl. A1 bis A3 jeweils S. 1). Überdies liessen sie sich in N._______ serbische Reisepässe ausstellen (vgl. A1 bis A3 jeweils S. 3). Die Republik Kosovo, deren Staatsangehörigkeit die Beschwerdeführenden ebenfalls besitzen dürften, aberkennt beziehungsweise verweigert Angehörigen anderer Staaten die kosovarische Staatsangehörigkeit nicht. Serbien anerkennt die Republik Kosovo nicht als Staat und betrachtet damit die Staatsangehörigen des Kosovos grundsätzlich als serbische Staatsangehörige. Die Beschwerdeführenden können sich demnach nach Serbien begeben, wo sie aufgrund der Niederlassungsfreiheit Wohnsitz nehmen können und ihnen allenfalls auch neue serbische Identitätspapiere ausgestellt würden (vgl. das zur Publikation vorgesehene Grundsatzurteil des Bundesverwaltungsgerichts D-7561/2008 vom 15. April 2010). Asylsuchende, die mehrere Staatsangehörigkeiten besitzen, sind nicht auf den Schutz eines Drittstaates angewiesen, sofern sie in einem der Staaten, dessen Staatsangehörigkeit sie besitzen, Schutz vor Verfolgung finden können. Insoweit der Beschwerdeführer vorbringt, er fürchte sich in Serbien vor der Verfolgung durch serbische Nationalisten (und diese auch namentlich nennt, vgl. Beschwerdeeingabe vom 11. Februar 2010 S. 7 ff.), ist zu prüfen, ob er beziehungsweise seine Familie diesbezüglich in Serbien eine asylrelevante Verfolgung zu befürchten haben. Betreffend die entspre-chenden Vorbringen ist einleitend zu bemerken, dass diese anlässlich der Anhörung vom 29. April 2009 eher dürftig ausgefallen sind (vgl. A13, S. 13). In der Beschwerdeeingabe vom 11. Februar 2010 und der Replik vom 29. April 2010 präzisierte der Beschwerdeführer diese dann. Das Bundesverwaltungsgericht teilt einerseits die Einschätzung der Vorinstanz, dass die geltend gemachten Probleme aus den Jahren 2004 bis 2006 nicht direkt Flucht auslösend waren - die Ausreise erfolgte Ende August 2008 - und somit zwischen der angeblichen Verfolgung und der Flucht sowohl in zeitlicher als auch sachlicher Hinsicht kein genügend enger Kausalzusammenhang besteht. Zudem macht der Beschwerdeführer explizit geltend, dass er nicht generell mit Serben Schwierigkeiten gehabt habe, sondern nur mit einzelnen serbischen Nationalisten (vgl. A13, S. 13). Aus diesem Grund ist nicht davon auszugehen, dass die Beschwerdeführenden auf dem (gesamten) Staatsgebiet von Serbien eine asylrelevante Verfolgung zu befürchten haben, handelt es sich doch bei den angeblichen Bedrohern lediglich um einzelne Personen. Sollte es also von dieser Seite zu weiteren Drohungen kommen, können die Beschwerdeführenden den serbischen Staat um Schutz ersuchen beziehungsweise gegen diese Nationalisten eine Anzeige erstatten. Schliesslich ist darauf hinzuweisen, dass der Bundesrat Serbien mit Beschluss vom 6. März 2009 als verfolgungssicheren Staat (safe country) im Sinne von Art. 6a Abs. 2 Bst. a AsylG bezeichnet hat, weshalb unter anderem von einem funktionierenden Justizsystem auszugehen ist. Es bestehen somit vorliegend keinerlei Anhaltspunkte dafür, dass den Beschwerdeführenden in Serbien eine asylrechtlich relevante Verfolgung droht, weshalb sie des Schutzes durch die Schweiz nicht bedürfen.</w:t>
      </w:r>
    </w:p>
    <w:p>
      <w:r>
        <w:rPr>
          <w:b/>
        </w:rPr>
        <w:t>E. 4.6</w:t>
      </w:r>
    </w:p>
    <w:p>
      <w:r>
        <w:t>Das Bundesverwaltungsgericht kommt zum Schluss, dass die Ausführungen in der Beschwerde vom 11. Februar 2010 sowie der Replik vom 29. April 2010 nicht geeignet sind, die Erwägungen der Vorinstanz im Asyl- und Flüchtlingspunkt zu entkräften. Bei dieser Sachlage erübrigt es sich, auf die näheren diesbezüglichen Ausführungen und die zahlreich eingereichten Beweismittel in den Eingaben der Beschwer-deführenden im Einzelnen näher einzugehen, zumal sie nicht zu einer anderen Beurteilung zu führen vermögen. Diesbezüglich ist auf die zutreffenden Erwägungen der Vorinstanz zu verweisen. Es ergibt sich, dass die Vorbringen der Beschwerdeführenden somit den Anforde-rungen an die Flüchtlingseigenschaft gemäss Art. 3 AsylG nicht stand-halten. Demzufolge hat das BFM zu Recht die Flüchtlingseigenschaft der Beschwerdeführenden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In Serbien besteht keine Situation generalisierter Gewalt, die sich über das ganze Staatsgebiet oder weite Teile desselben erstrecken würde. Der Vollzug von ethnischen Serben mit letztem Wohnsitz in Kosovo nach Serbien ist deshalb grundsätzlich zumutbar. Es bestehen zudem auch keine individuellen Gründe wirtschaftlicher, sozialer oder gesundheitlicher Natur, die darauf hinweisen, dass die Beschwerdeführenden in Serbien in eine existenzbedrohende Situation geraten könnten. Beim Beschwerdeführer (A._______) handelt es sich um einen jungen Mann mit einer überdurchschnittlichen Berufsausbildung (Hochschulabschluss als Ökonom) und vielfältiger Berufserfahrung in leitenden Funktionen (vgl. A1, S. 2 und A13, S. 4 f.), der in der Lage sein sollte, in Serbien für sich und seine Familie eine Existenz aufzubauen. Zudem konnte er auch schon in der Vergangenheit auf die Unterstützung seines Vaters zählen (vgl. A1, S. 9 und A13, S. 5), welcher den Beschwerdeführer und seine Familie auch bei einem Neuanfang in Serbien finanziell unter die Arme greifen kann. Zudem gab der Beschwerdeführer anlässlich der Anhörung zu Protokoll, dass er in pekuniär guten Verhältnissen gelebt sowie ein Haus und Vermögen besessen habe (vgl. A13, S. 15). Es ist also davon auszugehen, dass er finanziell abgesichert ist oder dies durch den Verkauf seines Hauses sein könnte. Der Beschwerdeführer verfügt über meh-rere Verwandte, die in der Schweiz leben (vgl. A1, S. 2 f.) und ihn und seine Familie materiell unterstützen können. Auch die Beschwerdeführerin (B._______) ist jung, verfügt über eine gute schulische Ausbildung (Mittelschulabschluss) und Berufserfahrung (vgl. A2, S. 2). Ihr ist es zuzumuten, ihren Mann bei der Bestreitung des Lebensunterhaltes für ihre Familie zu unterstützten. Der älteste Sohn (D._______) besuchte bereits knapp ein Jahr in Serbien (H._______) das Gymnasium (vgl. A3, S. 2). Zudem sind die Beschwerdeführenden allesamt serbischer Muttersprache und haben in Serbien Verwandte (vgl. A1, S. 2 und A2, S. 3). Sie gehören in Serbien keiner Minderheitsethnie an, weshalb davon auszugehen ist, dass sie als Angehörige der serbischen Ethnie nach allfälligen Schwierigkeiten in der Anfangsphase in der Lage sein sollten, sich in Serbien sozial zu integrieren und Zugang zum Wohnungs- und Arbeitsmarkt zu erhalten, auch wenn für sie als Neuzuzüger die Bedingungen für den Aufbau einer wirtschaftlichen und sozialen Existenz unbestrittenermassen nicht leicht sein wird. Da die Beschwerdeführenden im Kosovo zweifelsfrei registriert worden sind, stehen einer Anmeldung in Serbien keine administrativen Hindernisse entgegen. Sie werden nach ihrer Anmeldung unter anderem Zugang zu finanzieller und medizinischer Unterstützung (falls überhaupt notwendig) haben. Auch für die beiden jüngeren Söhne (C._______ und E._______) ist eine Wegweisung nach Serbien zumutbar, werden sie doch nach einem nur knapp zweijährigen Aufenthalt in der Schweiz nicht aus einer soziokulturellen Umgebung herausgerissen, in der sie namentlich durch einen langjährigen Schulbesuch in massgebender Art geprägt worden wären. Überdies sind aus den Akten keine schwerwiegenden gesundheitlichen Probleme der Beschwerdeführenden ersichtlich. Zusammenfassend ist der Vollzug der Wegweisung nach Serbien somit aufgrund des Gesagten auch unter individuellen Gesichtspunkten nicht als unzumutbar zu beurteilen.</w:t>
      </w:r>
    </w:p>
    <w:p>
      <w:r>
        <w:rPr>
          <w:b/>
        </w:rPr>
        <w:t>E. 6.5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23. Februar 2010 in gleicher Höhe geleistete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