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D-833/2016 vom 14. März 2016</w:t>
      </w:r>
    </w:p>
    <w:p>
      <w:r>
        <w:t>Bundesverwaltungsgericht, 2016-03-14, DE</w:t>
      </w:r>
    </w:p>
    <w:p>
      <w:r>
        <w:rPr>
          <w:b/>
        </w:rPr>
        <w:t xml:space="preserve">Quelle: </w:t>
      </w:r>
      <w:r>
        <w:t>https://mcp.opencaselaw.ch/entscheid/bvger_D-833_2016</w:t>
      </w:r>
    </w:p>
    <w:p>
      <w:r>
        <w:t>FR: TAF D-833/2016 du 14 mars 2016</w:t>
      </w:r>
    </w:p>
    <w:p>
      <w:r>
        <w:t>IT: TAF D-833/2016 del 14 marzo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BVGE 2012/32 E. 5.1 S. 598 sowie die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4.2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4.3</w:t>
      </w:r>
    </w:p>
    <w:p>
      <w:r>
        <w:t>Der Untersuchungsgrundsatz - auch wenn dieser nicht uneingeschränkt gilt und sein Korrelat in der Mitwirkungspflicht des Asylsuchenden findet (vgl. Art. 13 VwVG und Art. 8 AsylG) - gehört zu den allgemeinen Grundsätzen des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(vgl. BVGE 2015/4 E. 3.2 m.w.H.).</w:t>
      </w:r>
    </w:p>
    <w:p>
      <w:r>
        <w:rPr>
          <w:b/>
        </w:rPr>
        <w:t>E. 5.1</w:t>
      </w:r>
    </w:p>
    <w:p>
      <w:r>
        <w:t>Das SEM kam in der angefochtenen Verfügung vom 28. Januar 2016 im Sinne einer Gesamtwürdigung zum Schluss, dass aus seiner Sicht die Kriterien für eine Familienzusammenführung nicht gegeben seien. Nach Prüfung der Akten erachtet das Bundesverwaltungsgericht diese Einschätzung als unzutreffend. Ungeachtet der Ausführungen in der Beschwerdeeingabe ist vorliegend Folgendes festzustellen:</w:t>
      </w:r>
    </w:p>
    <w:p>
      <w:r>
        <w:rPr>
          <w:b/>
        </w:rPr>
        <w:t>E. 5.2</w:t>
      </w:r>
    </w:p>
    <w:p>
      <w:r>
        <w:t>Mit Verweis auf die Rechtsprechung (BVGE 2012/32 E. 5. und 5.4) kommt die Vorinstanz in einer teils widersprüchlichen und mutmassenden Argumentation zur Ablehnung des Gesuchs. Zum einen zweifelt das SEM an der Vater-Tochter-Beziehung aufgrund nicht hieb- und stichfester Aspekte respektive unzulässig herbeigezogener Begründungselemente. Die Gesuchstellung vier Jahre nach der Asylgewährung ist nicht fristgebunden und überzeugt als Kriterium für eine allfällig fehlende Vater-Tochter-Beziehung somit nicht. Die Diskrepanz hinsichtlich des vom Beschwerdeführer an der BzP genannten Geburtsmonats der Tochter ist im Gesamtzusammenhang als von untergeordneter Bedeutung zu erachten. Ebenso wenig vermag die Begründung zum Zeugungstermin der Tochter im Zusammenhang mit den zeitlichen und örtlichen Angaben des Beschwerdeführers zum Militärdienst anlässlich der BzP zu greifen. Die diesbezügliche Argumentation des SEM ist indessen in anderer Hinsicht aufschlussreich, denn damit lässt die Vorinstanz erkennen, dass sie die Vaterschaft des Beschwerdeführers bezweifelt. Diese Zweifel werden in den gleich anschliessend getroffenen Feststellungen in der angefochtenen Verfügung beseitigt, indem die Vorinstanz aufgrund der Wortwahl "Ihre Tochter" unumwunden zu erkennen gibt, dass sie keine Zweifel mehr hegt, wonach es sich bei der Person, für die der Beschwerdeführer um Einreisebewilligung nachsucht, um seine Tochter handelt. Aufgrund des langjährigen Militärdiensts sowie des Alters der Tochter im Zeitpunkt der Ausreise des Beschwerdeführers wird zunächst eine früher gelebte Familiengemeinschaft in Frage gestellt, ehe im gleichen Zusammenhang mit Überzeugung von einer nie gelebten Beziehung und Familiengemeinschaft die Rede ist. Mit der Beurteilung respektive den Ausführungen unter dem Gesichtspunkt des Kindeswohls in der angefochtenen Verfügung beseitigt die Vorinstanz letztlich sämtliche Bedenken, wonach B._______ nicht die Tochter des Beschwerdeführers sein könnte. Ferner bestehen für das Gericht aufgrund der Akten auch keine unumstösslichen Anhaltspunkte dafür, dass eine Familiengemeinschaft vor der Flucht des Beschwerdeführers mit seiner Tochter nicht bestanden haben könnte. So wurde der Beschwerdeführer bloss einmal und summarisch (BzP vom 21. April 2011) befragt; eine Anhörung wurde nicht durchgeführt. Der familiäre Hintergrund wurde nicht weiter beleuchtet respektive genauer ergründet. Aus den knappen und dürftigen Angaben des Beschwerdeführers rund um seinen Militärdienst kann denn auch keineswegs und ausschliesslich herausgelesen und der Schluss gezogen werden, dieser hätte immerwährend Dienst leisten müssen und hätte somit niemals Gelegenheit gehabt, seine bei seinen Eltern aufwachsende Tochter zu sehen oder mit ihr die ihm allenfalls im Rahmen von Urlauben zur Verfügung stehende Zeit im Sinne einer Familiengemeinschaft zu verbringen. Jedenfalls erweist sich diese Frage von zentraler und entscheidender Bedeutung, weil bejahendenfalls aus Art. 51 Abs. 4 AsylG ein Anspruch auf Erteilung einer Einreisebewilligung zugunsten der Tochter abzuleiten wäre (vgl. E. 4.2). Vor diesem Hintergrund ergibt sich, dass die Vorinstanz den rechtserheblichen Sachverhalt unrichtig und unvollständig festgestellt hat. Sie verletzt damit Bundesrecht.</w:t>
      </w:r>
    </w:p>
    <w:p>
      <w:r>
        <w:rPr>
          <w:b/>
        </w:rPr>
        <w:t>E. 6</w:t>
      </w:r>
    </w:p>
    <w:p>
      <w:r>
        <w:t>Nach dem Gesagten ist die Beschwerde gutzuheissen, die Verfügung des SEM vom 28. Januar 2016 aufzuheben und die Sache zur Neubeurteilung im Sinne der vorstehenden Erwägungen an die Vorinstanz zurückzu­weisen.</w:t>
      </w:r>
    </w:p>
    <w:p>
      <w:r>
        <w:rPr>
          <w:b/>
        </w:rPr>
        <w:t>E. 7.1</w:t>
      </w:r>
    </w:p>
    <w:p>
      <w:r>
        <w:t>In Anwendung von Art. 63 Abs. 1 VwVG sind keine Verfahrenskosten aufzuerlegen. Der am 27. Februar 2016 in der Höhe von Fr. 600.- geleistete Kostenvorschuss ist zurückzuerstatten.</w:t>
      </w:r>
    </w:p>
    <w:p>
      <w:r>
        <w:rPr>
          <w:b/>
        </w:rPr>
        <w:t>E. 7.2</w:t>
      </w:r>
    </w:p>
    <w:p>
      <w:r>
        <w:t>Obsiegende Parteien haben grundsätzlich Anspruch auf eine Parteientschädigung für die ihnen erwachsenen notwendigen und verhältnismässig hohen Kosten (Art. 64 Abs. 1 VwVG i.V.m. Art. 7 ff. des Reglements vom 21. Februar 2008 über die Kosten und Entschädigungen vor dem Bundesverwaltungsgericht [VGKE, SR 173.320.2]). Vorliegend ist jedoch keine Parteientschädigung zu entrichten, da weder dargetan noch er­sichtlich ist, dass dem nicht vertretenen Beschwerdeführer verhältnismässig hohe Kosten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