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D-8330/2008 vom 5. August 2009</w:t>
      </w:r>
    </w:p>
    <w:p>
      <w:r>
        <w:t>Bundesverwaltungsgericht, 2009-08-05, DE</w:t>
      </w:r>
    </w:p>
    <w:p>
      <w:r>
        <w:rPr>
          <w:b/>
        </w:rPr>
        <w:t xml:space="preserve">Quelle: </w:t>
      </w:r>
      <w:r>
        <w:t>https://mcp.opencaselaw.ch/entscheid/bvger_D-8330_2008</w:t>
      </w:r>
    </w:p>
    <w:p>
      <w:r>
        <w:t>FR: TAF D-8330/2008 du 5 août 2009</w:t>
      </w:r>
    </w:p>
    <w:p>
      <w:r>
        <w:t>IT: TAF D-8330/2008 del 5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Wie der Instruktionsrichter bereits in der Zwischenverfügung vom 5. Januar 2009 feststellte, ist angesichts des Inhalts der Beschwerdeschrift davon auszugehen, die Beschwerde richte sich nur gegen den Vollzug der von der Vorinstanz verfügten Wegweisung. Diese Feststellung blieb unwidersprochen. Die Verneinung der Flüchtlingseigenschaft, die Ablehnung des Asylgesuchs sowie die Wegweisung (vgl. Ziffern 1-3 der Dispositivs der Verfügung vom 13. November 2008) sind somit als unangefochten zu betrachten und in Rechtskraft erwachsen. Gegenstand des vorliegenden Beschwerdeverfahrens bildet entsprechend die Prüfung, ob die Vorinstanz den Wegweisungsvollzug zu Recht angeordnet hat.</w:t>
      </w:r>
    </w:p>
    <w:p>
      <w:r>
        <w:rPr>
          <w:b/>
        </w:rPr>
        <w:t>E. 4.2</w:t>
      </w:r>
    </w:p>
    <w:p>
      <w:r>
        <w:t>Der Beschwerdeführer wurde nach eigenen Aussagen am (...) geboren. Die vom Bundesamt veranlasste radiologische Untersuchung des Handskeletts des Beschwerdeführers vom (...) ergab ein mit diesen Angaben übereinstimmendes Alter von 16 bis 17 Jahren (vgl. Akten BFM A6/1). Nach dem massgebenden schweizerischen Recht (vgl. Entscheidungen und Mitteilungen der Schweizerischen Asylrekurskommission [EMARK] 1994 Nr. 11 E. 4d S. 92) wurde der Beschwerdeführer somit - an seinem 18. Geburtstag - am (...) mündig (Art. 14 ZGB). Die Kinderrechtskonvention (KRK) ist deshalb auf das vorliegende Verfahren nicht mehr anwendbar. Aus demselben Grund kommt die von der Schweizerischen Asylrekurskommission (ARK) begründete Rechtsprechung zu den Anforderungen an die Feststellung des Sachverhaltes beim Wegweisungsvollzug von unbegleiteten Minderjährigen (vgl. EMARK 2006 Nr. 24) nicht mehr zur Anwendung. Den entsprechenden Einwendungen in der Beschwerdeschrift ist damit die Grundlage entzogen, weshalb sich Erwägungen dazu im Urteil erübrigen.</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Da der Beschwerdeführer keine asylrechtlich erhebliche Gefährdung geltend machte,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Nordirak lässt den Wegweisungsvollzug zum heutigen Zeitpunkt nicht als unzulässig erscheinen (vgl. BVGE 2008/4 E. 6.2 ff. und 6.6).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5.3.1</w:t>
      </w:r>
    </w:p>
    <w:p>
      <w:r>
        <w:t>Das Bundesverwaltungsgericht ist in seinem Grundsatzurteil BVGE 2008/5 vom 14. März 2008 aufgrund einer umfassenden Beurteilung der Situation in den nordirakischen Provinzen Dohuk, Suleimaniya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Zusammenfassend wurde im erwähnten Entscheid festgehalten, dass die Anordnung des Wegweisungsvollzugs für alleinstehende, gesunde und junge kurdische Männer, die ursprünglich aus den Provinzen Dohuk, Suleimaniya oder Erbil stammen und dort nach wie vor über ein soziales Netz oder Parteibeziehungen verfügen, in der Regel zumutbar ist.</w:t>
      </w:r>
    </w:p>
    <w:p>
      <w:r>
        <w:rPr>
          <w:b/>
        </w:rPr>
        <w:t>E. 5.3.2</w:t>
      </w:r>
    </w:p>
    <w:p>
      <w:r>
        <w:t>Der Beschwerdeführer ist nach eigenen Angaben in D._______, Distrikt E._______, Provinz Dohuk, geboren und mit (...) Geschwistern zusammen aufgewachsen. Die gesamte Familie lebt immer noch D._______ (vgl. A16/12 S. 4). Sowohl die Primarschule wie auch die Sekundarschule besuchte er in D._______ (a.a.O.). Der Beschwerdeführer verfügt damit zweifellos über ein familiäres beziehungsweise soziales Beziehungsnetz in D._______. Aus den Akten sind keine Anhaltspunkte ersichtlich, welche den Schluss nahelegten, die Familie würde den Beschwerdeführer bei einer Rückkehr nicht aufnehmen und unterstützen. Gegenteils führte der Beschwerdeführer aus, er habe eine gute Beziehung zur Familie (vgl. A16/12 S. 4) und pflege telefonischen Kontakt (vgl. a.a.O., S. 3). Ausserdem ergeben sich aus den Akten keine Hinweise auf gesundheitliche Beeinträchtigungen. Auch wenn der Beschwerdeführer derzeit - ausgenommen seine Mithilfe auf dem Land der Familie (vgl. A16/12 S. 5) - noch nicht über Berufserfahrung verfügt, ist davon auszugehen, dass es ihm möglich sein sollte, selbst unter den nicht einfachen Bedingungen in seiner Heimat in absehbarer Zeit ein Einkommen zu erzielen und für seinen Unterhalt aufzukommen. Anzumerken ist schliesslich, dass blosse soziale und wirtschaftliche Schwierigkeiten, wie namentlich Mangel an Wohnungen und Arbeitsplätzen, von welchen die ansässige Bevölkerung betroffen ist, keine existenzbedrohende Situation darstellen, welche den Vollzug der Wegweisung eines Ausländers in den Heimatstaat als unzumutbar erscheinen liessen (EMARK 2005 Nr. 24 E. 10.1 S. 215, mit weiteren Hinweisen).</w:t>
      </w:r>
    </w:p>
    <w:p>
      <w:r>
        <w:rPr>
          <w:b/>
        </w:rPr>
        <w:t>E. 5.3.3</w:t>
      </w:r>
    </w:p>
    <w:p>
      <w:r>
        <w:t>Was sodann die in der Beschwerdeschrift erwähnte gute Integration des Beschwerdeführers in der Schweiz anbelangt, ist Folgendes anzumerken: Die Frage, ob wegen der angeblichen fortgeschrittenen Integration ein schwerwiegender persönlicher Härtefall (Art. 14 Abs. 2 Bst. c AsylG) vorliegt, kann seit Anfang des Jahres 2007 nicht mehr im Rahmen des Asylverfahrens geprüft werden, sondern fällt in die Kompetenz der kantonalen Behörde.</w:t>
      </w:r>
    </w:p>
    <w:p>
      <w:r>
        <w:rPr>
          <w:b/>
        </w:rPr>
        <w:t>E. 5.3.4</w:t>
      </w:r>
    </w:p>
    <w:p>
      <w:r>
        <w:t>Nach dem Gesagten erweist sich der Vollzug der Wegweisung auch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im Betrag von Fr. 600.-- grundsätzlich dem Beschwerdeführer aufzuerlegen (Art. 63 Abs. 1 VwVG). In Anbetracht der besonderen Umstände des vorliegenden Falles - insbesondere des jungen Alters des Beschwerdeführers - ist jedoch in Anwendung von Art. 6 Bst. b des Reglements vom 21. Februar 2008 über die Kosten und Entschädigungen vor dem Bundesverwaltungsgericht (VGKE, SR 173.320.2)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